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5" w:rsidRPr="006E3457" w:rsidRDefault="00CF69A2" w:rsidP="001E7BCD">
      <w:pPr>
        <w:jc w:val="center"/>
        <w:rPr>
          <w:rFonts w:ascii="Verdana" w:hAnsi="Verdana" w:cs="Arial"/>
          <w:b/>
          <w:bCs/>
          <w:i/>
          <w:sz w:val="20"/>
          <w:szCs w:val="20"/>
          <w:u w:val="single"/>
          <w:lang w:val="en-US"/>
        </w:rPr>
      </w:pPr>
      <w:bookmarkStart w:id="0" w:name="_GoBack"/>
      <w:bookmarkEnd w:id="0"/>
      <w:r w:rsidRPr="006E3457">
        <w:rPr>
          <w:rFonts w:ascii="Verdana" w:hAnsi="Verdana" w:cs="Arial"/>
          <w:b/>
          <w:bCs/>
          <w:sz w:val="24"/>
          <w:szCs w:val="20"/>
          <w:u w:val="single"/>
          <w:lang w:val="en-US"/>
        </w:rPr>
        <w:t>Approaches - Making links!</w:t>
      </w:r>
      <w:r w:rsidR="001E7BCD">
        <w:rPr>
          <w:rFonts w:ascii="Verdana" w:hAnsi="Verdana" w:cs="Arial"/>
          <w:b/>
          <w:bCs/>
          <w:sz w:val="24"/>
          <w:szCs w:val="20"/>
          <w:u w:val="single"/>
          <w:lang w:val="en-US"/>
        </w:rPr>
        <w:t xml:space="preserve"> </w:t>
      </w:r>
      <w:r w:rsidRPr="006E3457">
        <w:rPr>
          <w:rFonts w:ascii="Verdana" w:hAnsi="Verdana" w:cs="Arial"/>
          <w:b/>
          <w:bCs/>
          <w:i/>
          <w:sz w:val="20"/>
          <w:szCs w:val="20"/>
          <w:u w:val="single"/>
          <w:lang w:val="en-US"/>
        </w:rPr>
        <w:t xml:space="preserve">Do this activity without notes </w:t>
      </w:r>
    </w:p>
    <w:p w:rsidR="00CF69A2" w:rsidRDefault="006E3457" w:rsidP="001F62D0">
      <w:pPr>
        <w:spacing w:after="0" w:line="240" w:lineRule="auto"/>
        <w:rPr>
          <w:rFonts w:ascii="Verdana" w:hAnsi="Verdana" w:cs="Arial"/>
          <w:bCs/>
          <w:sz w:val="20"/>
          <w:szCs w:val="20"/>
          <w:lang w:val="en-US"/>
        </w:rPr>
      </w:pPr>
      <w:r w:rsidRPr="006E3457">
        <w:rPr>
          <w:rFonts w:ascii="Verdana" w:hAnsi="Verdana" w:cs="Arial"/>
          <w:bCs/>
          <w:sz w:val="20"/>
          <w:szCs w:val="20"/>
          <w:lang w:val="en-US"/>
        </w:rPr>
        <w:t>1) From the list below</w:t>
      </w:r>
      <w:r w:rsidR="00D40B8D">
        <w:rPr>
          <w:rFonts w:ascii="Verdana" w:hAnsi="Verdana" w:cs="Arial"/>
          <w:bCs/>
          <w:sz w:val="20"/>
          <w:szCs w:val="20"/>
          <w:lang w:val="en-US"/>
        </w:rPr>
        <w:t xml:space="preserve"> -</w:t>
      </w:r>
      <w:r w:rsidRPr="006E3457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D36E41">
        <w:rPr>
          <w:rFonts w:ascii="Verdana" w:hAnsi="Verdana" w:cs="Arial"/>
          <w:bCs/>
          <w:sz w:val="20"/>
          <w:szCs w:val="20"/>
          <w:lang w:val="en-US"/>
        </w:rPr>
        <w:t xml:space="preserve">select </w:t>
      </w:r>
      <w:r w:rsidRPr="006E3457">
        <w:rPr>
          <w:rFonts w:ascii="Verdana" w:hAnsi="Verdana" w:cs="Arial"/>
          <w:bCs/>
          <w:sz w:val="20"/>
          <w:szCs w:val="20"/>
          <w:lang w:val="en-US"/>
        </w:rPr>
        <w:t>3 points</w:t>
      </w:r>
      <w:r w:rsidR="00D36E41">
        <w:rPr>
          <w:rFonts w:ascii="Verdana" w:hAnsi="Verdana" w:cs="Arial"/>
          <w:bCs/>
          <w:sz w:val="20"/>
          <w:szCs w:val="20"/>
          <w:lang w:val="en-US"/>
        </w:rPr>
        <w:t xml:space="preserve">, for </w:t>
      </w:r>
      <w:r w:rsidR="00D36E41" w:rsidRPr="006E3457">
        <w:rPr>
          <w:rFonts w:ascii="Verdana" w:hAnsi="Verdana" w:cs="Arial"/>
          <w:bCs/>
          <w:sz w:val="20"/>
          <w:szCs w:val="20"/>
          <w:lang w:val="en-US"/>
        </w:rPr>
        <w:t>each of the four approaches in the table</w:t>
      </w:r>
      <w:r w:rsidR="00D36E41">
        <w:rPr>
          <w:rFonts w:ascii="Verdana" w:hAnsi="Verdana" w:cs="Arial"/>
          <w:bCs/>
          <w:sz w:val="20"/>
          <w:szCs w:val="20"/>
          <w:lang w:val="en-US"/>
        </w:rPr>
        <w:t xml:space="preserve">, that </w:t>
      </w:r>
      <w:r w:rsidRPr="006E3457">
        <w:rPr>
          <w:rFonts w:ascii="Verdana" w:hAnsi="Verdana" w:cs="Arial"/>
          <w:bCs/>
          <w:sz w:val="20"/>
          <w:szCs w:val="20"/>
          <w:lang w:val="en-US"/>
        </w:rPr>
        <w:t xml:space="preserve">you think could be used </w:t>
      </w:r>
      <w:r w:rsidR="00D36E41">
        <w:rPr>
          <w:rFonts w:ascii="Verdana" w:hAnsi="Verdana" w:cs="Arial"/>
          <w:bCs/>
          <w:sz w:val="20"/>
          <w:szCs w:val="20"/>
          <w:lang w:val="en-US"/>
        </w:rPr>
        <w:t>as evaluation</w:t>
      </w:r>
      <w:r w:rsidRPr="006E3457">
        <w:rPr>
          <w:rFonts w:ascii="Verdana" w:hAnsi="Verdana" w:cs="Arial"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667"/>
        <w:gridCol w:w="5177"/>
      </w:tblGrid>
      <w:tr w:rsidR="001E7BCD" w:rsidTr="001E7BCD">
        <w:tc>
          <w:tcPr>
            <w:tcW w:w="2838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2667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Practical applications</w:t>
            </w:r>
          </w:p>
        </w:tc>
        <w:tc>
          <w:tcPr>
            <w:tcW w:w="5177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 xml:space="preserve">Strengths and limitations of the way behaviour is investigated within the approach </w:t>
            </w:r>
          </w:p>
          <w:p w:rsidR="001E7BCD" w:rsidRPr="00786EBC" w:rsidRDefault="001E7BCD" w:rsidP="001E7BCD">
            <w:pPr>
              <w:pStyle w:val="ListParagraph"/>
              <w:ind w:left="360"/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 xml:space="preserve">(e.g. scientific, validity, reliability, </w:t>
            </w:r>
            <w:proofErr w:type="spellStart"/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generalisability</w:t>
            </w:r>
            <w:proofErr w:type="spellEnd"/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etc</w:t>
            </w:r>
            <w:proofErr w:type="spellEnd"/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)</w:t>
            </w:r>
          </w:p>
          <w:p w:rsidR="001E7BCD" w:rsidRPr="00786EBC" w:rsidRDefault="001E7BCD" w:rsidP="001E7BCD">
            <w:p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</w:p>
        </w:tc>
      </w:tr>
      <w:tr w:rsidR="001E7BCD" w:rsidTr="001E7BCD">
        <w:tc>
          <w:tcPr>
            <w:tcW w:w="2838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Reductionism</w:t>
            </w: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ab/>
            </w:r>
          </w:p>
        </w:tc>
        <w:tc>
          <w:tcPr>
            <w:tcW w:w="2667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Determinism</w:t>
            </w:r>
          </w:p>
        </w:tc>
        <w:tc>
          <w:tcPr>
            <w:tcW w:w="5177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Limitations of the explanation of behaviour (i.e. fails to explain….)</w:t>
            </w:r>
          </w:p>
        </w:tc>
      </w:tr>
      <w:tr w:rsidR="001E7BCD" w:rsidTr="001E7BCD">
        <w:tc>
          <w:tcPr>
            <w:tcW w:w="2838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Nature/Nurture</w:t>
            </w:r>
          </w:p>
        </w:tc>
        <w:tc>
          <w:tcPr>
            <w:tcW w:w="2667" w:type="dxa"/>
          </w:tcPr>
          <w:p w:rsidR="001E7BCD" w:rsidRPr="00786EBC" w:rsidRDefault="001E7BCD" w:rsidP="001E7BC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  <w:r w:rsidRPr="00786EBC"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  <w:t>Cultural bias</w:t>
            </w:r>
          </w:p>
        </w:tc>
        <w:tc>
          <w:tcPr>
            <w:tcW w:w="5177" w:type="dxa"/>
          </w:tcPr>
          <w:p w:rsidR="001E7BCD" w:rsidRPr="00786EBC" w:rsidRDefault="001E7BCD" w:rsidP="001E7BCD">
            <w:pPr>
              <w:pStyle w:val="ListParagraph"/>
              <w:ind w:left="360"/>
              <w:rPr>
                <w:rFonts w:ascii="Verdana" w:hAnsi="Verdana" w:cs="Arial"/>
                <w:bCs/>
                <w:i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734C15" w:rsidRDefault="00734C15" w:rsidP="001F62D0">
      <w:pPr>
        <w:spacing w:after="0" w:line="240" w:lineRule="auto"/>
        <w:rPr>
          <w:rFonts w:ascii="Verdana" w:hAnsi="Verdana" w:cs="Arial"/>
          <w:bCs/>
          <w:sz w:val="20"/>
          <w:szCs w:val="20"/>
          <w:lang w:val="en-US"/>
        </w:rPr>
      </w:pPr>
    </w:p>
    <w:p w:rsidR="001F62D0" w:rsidRDefault="001F62D0" w:rsidP="001F62D0">
      <w:pPr>
        <w:spacing w:after="0" w:line="240" w:lineRule="auto"/>
        <w:rPr>
          <w:rFonts w:ascii="Verdana" w:hAnsi="Verdana" w:cs="Arial"/>
          <w:bCs/>
          <w:sz w:val="20"/>
          <w:szCs w:val="20"/>
          <w:lang w:val="en-US"/>
        </w:rPr>
      </w:pPr>
    </w:p>
    <w:p w:rsidR="006E3457" w:rsidRDefault="00CE534A" w:rsidP="001F62D0">
      <w:pPr>
        <w:pStyle w:val="ListParagraph"/>
        <w:spacing w:after="0" w:line="240" w:lineRule="auto"/>
        <w:ind w:left="0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ab/>
      </w:r>
      <w:r>
        <w:rPr>
          <w:rFonts w:ascii="Verdana" w:hAnsi="Verdana" w:cs="Arial"/>
          <w:bCs/>
          <w:sz w:val="20"/>
          <w:szCs w:val="20"/>
          <w:lang w:val="en-US"/>
        </w:rPr>
        <w:tab/>
      </w:r>
      <w:r>
        <w:rPr>
          <w:rFonts w:ascii="Verdana" w:hAnsi="Verdana" w:cs="Arial"/>
          <w:bCs/>
          <w:sz w:val="20"/>
          <w:szCs w:val="20"/>
          <w:lang w:val="en-US"/>
        </w:rPr>
        <w:tab/>
      </w:r>
    </w:p>
    <w:p w:rsidR="00734C15" w:rsidRPr="00CE534A" w:rsidRDefault="00734C15" w:rsidP="001F62D0">
      <w:pPr>
        <w:pStyle w:val="ListParagraph"/>
        <w:spacing w:after="0" w:line="240" w:lineRule="auto"/>
        <w:ind w:left="0"/>
        <w:rPr>
          <w:rFonts w:ascii="Verdana" w:hAnsi="Verdana" w:cs="Arial"/>
          <w:bCs/>
          <w:sz w:val="20"/>
          <w:szCs w:val="20"/>
          <w:lang w:val="en-US"/>
        </w:rPr>
      </w:pPr>
    </w:p>
    <w:tbl>
      <w:tblPr>
        <w:tblStyle w:val="TableGrid"/>
        <w:tblW w:w="15370" w:type="dxa"/>
        <w:tblInd w:w="-176" w:type="dxa"/>
        <w:tblLook w:val="04A0" w:firstRow="1" w:lastRow="0" w:firstColumn="1" w:lastColumn="0" w:noHBand="0" w:noVBand="1"/>
      </w:tblPr>
      <w:tblGrid>
        <w:gridCol w:w="4087"/>
        <w:gridCol w:w="3895"/>
        <w:gridCol w:w="3358"/>
        <w:gridCol w:w="4030"/>
      </w:tblGrid>
      <w:tr w:rsidR="00CF69A2" w:rsidTr="001E7BCD">
        <w:trPr>
          <w:trHeight w:val="378"/>
        </w:trPr>
        <w:tc>
          <w:tcPr>
            <w:tcW w:w="4087" w:type="dxa"/>
          </w:tcPr>
          <w:p w:rsidR="00CF69A2" w:rsidRDefault="00CF69A2" w:rsidP="00D40B8D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69A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Biological approach (genes, neural, evolution)</w:t>
            </w:r>
          </w:p>
        </w:tc>
        <w:tc>
          <w:tcPr>
            <w:tcW w:w="3895" w:type="dxa"/>
          </w:tcPr>
          <w:p w:rsidR="00CF69A2" w:rsidRPr="00CF69A2" w:rsidRDefault="00CF69A2" w:rsidP="00D40B8D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69A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Cognitive approach </w:t>
            </w:r>
          </w:p>
          <w:p w:rsidR="00CF69A2" w:rsidRDefault="00CF69A2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</w:tcPr>
          <w:p w:rsidR="00CF69A2" w:rsidRDefault="00CF69A2" w:rsidP="00CB2681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69A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Learning approach</w:t>
            </w:r>
          </w:p>
        </w:tc>
        <w:tc>
          <w:tcPr>
            <w:tcW w:w="4030" w:type="dxa"/>
          </w:tcPr>
          <w:p w:rsidR="00CF69A2" w:rsidRDefault="00CF69A2" w:rsidP="00D40B8D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F69A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Psychodynamic approach</w:t>
            </w:r>
          </w:p>
        </w:tc>
      </w:tr>
      <w:tr w:rsidR="00CF69A2" w:rsidTr="00734C15">
        <w:trPr>
          <w:trHeight w:val="1979"/>
        </w:trPr>
        <w:tc>
          <w:tcPr>
            <w:tcW w:w="4087" w:type="dxa"/>
          </w:tcPr>
          <w:p w:rsidR="00CF69A2" w:rsidRDefault="00AE17E2" w:rsidP="00D40B8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E17E2">
              <w:rPr>
                <w:rFonts w:ascii="Verdana" w:hAnsi="Verdana" w:cs="Arial"/>
                <w:bCs/>
                <w:sz w:val="20"/>
                <w:szCs w:val="20"/>
              </w:rPr>
              <w:t>Nature – (L)</w:t>
            </w:r>
          </w:p>
          <w:p w:rsidR="00AE17E2" w:rsidRPr="00AE17E2" w:rsidRDefault="00AE17E2" w:rsidP="00D40B8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E17E2" w:rsidRDefault="00AE17E2" w:rsidP="00D40B8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E17E2">
              <w:rPr>
                <w:rFonts w:ascii="Verdana" w:hAnsi="Verdana" w:cs="Arial"/>
                <w:bCs/>
                <w:sz w:val="20"/>
                <w:szCs w:val="20"/>
              </w:rPr>
              <w:t>Scientific – (S)</w:t>
            </w:r>
          </w:p>
          <w:p w:rsidR="00AE17E2" w:rsidRPr="00AE17E2" w:rsidRDefault="00AE17E2" w:rsidP="00D40B8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E17E2" w:rsidRPr="00AE17E2" w:rsidRDefault="003D7ACD" w:rsidP="00D40B8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Practical applications</w:t>
            </w:r>
            <w:r w:rsidR="00AE17E2" w:rsidRPr="00AE17E2">
              <w:rPr>
                <w:rFonts w:ascii="Verdana" w:hAnsi="Verdana" w:cs="Arial"/>
                <w:bCs/>
                <w:sz w:val="20"/>
                <w:szCs w:val="20"/>
              </w:rPr>
              <w:t xml:space="preserve"> - (S)</w:t>
            </w:r>
          </w:p>
          <w:p w:rsidR="00D40B8D" w:rsidRDefault="00D40B8D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34C15" w:rsidRDefault="00734C15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34C15" w:rsidRDefault="00734C15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E7BCD" w:rsidRDefault="001E7BCD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</w:tcPr>
          <w:p w:rsidR="00CF69A2" w:rsidRDefault="00CF69A2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</w:tcPr>
          <w:p w:rsidR="00CF69A2" w:rsidRDefault="00CF69A2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:rsidR="00CF69A2" w:rsidRDefault="00CF69A2" w:rsidP="00D40B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F62D0" w:rsidRDefault="001F62D0" w:rsidP="001F62D0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E7BCD" w:rsidRDefault="00D36E41" w:rsidP="001F62D0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2) </w:t>
      </w:r>
      <w:r w:rsidR="00D40B8D">
        <w:rPr>
          <w:rFonts w:ascii="Verdana" w:hAnsi="Verdana" w:cs="Arial"/>
          <w:sz w:val="20"/>
          <w:szCs w:val="20"/>
          <w:lang w:val="en-US"/>
        </w:rPr>
        <w:t>Next to each of the three points – write S or L for whether the</w:t>
      </w:r>
      <w:r w:rsidR="00304963">
        <w:rPr>
          <w:rFonts w:ascii="Verdana" w:hAnsi="Verdana" w:cs="Arial"/>
          <w:sz w:val="20"/>
          <w:szCs w:val="20"/>
          <w:lang w:val="en-US"/>
        </w:rPr>
        <w:t xml:space="preserve"> points could be discussed as </w:t>
      </w:r>
      <w:proofErr w:type="gramStart"/>
      <w:r w:rsidR="00304963">
        <w:rPr>
          <w:rFonts w:ascii="Verdana" w:hAnsi="Verdana" w:cs="Arial"/>
          <w:sz w:val="20"/>
          <w:szCs w:val="20"/>
          <w:lang w:val="en-US"/>
        </w:rPr>
        <w:t>a s</w:t>
      </w:r>
      <w:r w:rsidR="00D40B8D">
        <w:rPr>
          <w:rFonts w:ascii="Verdana" w:hAnsi="Verdana" w:cs="Arial"/>
          <w:sz w:val="20"/>
          <w:szCs w:val="20"/>
          <w:lang w:val="en-US"/>
        </w:rPr>
        <w:t>trength</w:t>
      </w:r>
      <w:proofErr w:type="gramEnd"/>
      <w:r w:rsidR="00D40B8D">
        <w:rPr>
          <w:rFonts w:ascii="Verdana" w:hAnsi="Verdana" w:cs="Arial"/>
          <w:sz w:val="20"/>
          <w:szCs w:val="20"/>
          <w:lang w:val="en-US"/>
        </w:rPr>
        <w:t xml:space="preserve"> or a limitation.</w:t>
      </w:r>
    </w:p>
    <w:p w:rsidR="00CF69A2" w:rsidRPr="001E7BCD" w:rsidRDefault="00304963" w:rsidP="001F62D0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304963">
        <w:rPr>
          <w:rFonts w:ascii="Verdana" w:hAnsi="Verdana" w:cs="Arial"/>
          <w:bCs/>
          <w:sz w:val="20"/>
          <w:szCs w:val="20"/>
          <w:lang w:val="en-US"/>
        </w:rPr>
        <w:t>3) Now,</w:t>
      </w:r>
      <w:r w:rsidR="00CB2681">
        <w:rPr>
          <w:rFonts w:ascii="Verdana" w:hAnsi="Verdana" w:cs="Arial"/>
          <w:bCs/>
          <w:sz w:val="20"/>
          <w:szCs w:val="20"/>
          <w:lang w:val="en-US"/>
        </w:rPr>
        <w:t xml:space="preserve"> explain </w:t>
      </w:r>
      <w:r w:rsidR="00CB2681" w:rsidRPr="00CB2681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why</w:t>
      </w:r>
      <w:r w:rsidR="00CB2681">
        <w:rPr>
          <w:rFonts w:ascii="Verdana" w:hAnsi="Verdana" w:cs="Arial"/>
          <w:bCs/>
          <w:sz w:val="20"/>
          <w:szCs w:val="20"/>
          <w:lang w:val="en-US"/>
        </w:rPr>
        <w:t xml:space="preserve"> these are strengths and limitations.</w:t>
      </w:r>
      <w:r w:rsidR="001F62D0">
        <w:rPr>
          <w:rFonts w:ascii="Verdana" w:hAnsi="Verdana" w:cs="Arial"/>
          <w:bCs/>
          <w:sz w:val="20"/>
          <w:szCs w:val="20"/>
          <w:lang w:val="en-US"/>
        </w:rPr>
        <w:t xml:space="preserve"> An example has been given for you.</w:t>
      </w:r>
    </w:p>
    <w:p w:rsidR="001F62D0" w:rsidRPr="00304963" w:rsidRDefault="001F62D0" w:rsidP="001F62D0">
      <w:pPr>
        <w:spacing w:after="0" w:line="240" w:lineRule="auto"/>
        <w:rPr>
          <w:rFonts w:ascii="Verdana" w:hAnsi="Verdana" w:cs="Arial"/>
          <w:bCs/>
          <w:sz w:val="20"/>
          <w:szCs w:val="20"/>
          <w:lang w:val="en-US"/>
        </w:rPr>
      </w:pPr>
    </w:p>
    <w:tbl>
      <w:tblPr>
        <w:tblStyle w:val="TableGrid"/>
        <w:tblW w:w="15861" w:type="dxa"/>
        <w:tblInd w:w="-176" w:type="dxa"/>
        <w:tblLook w:val="04A0" w:firstRow="1" w:lastRow="0" w:firstColumn="1" w:lastColumn="0" w:noHBand="0" w:noVBand="1"/>
      </w:tblPr>
      <w:tblGrid>
        <w:gridCol w:w="4218"/>
        <w:gridCol w:w="4019"/>
        <w:gridCol w:w="4011"/>
        <w:gridCol w:w="3613"/>
      </w:tblGrid>
      <w:tr w:rsidR="00304963" w:rsidTr="00FE46A8">
        <w:trPr>
          <w:trHeight w:val="784"/>
        </w:trPr>
        <w:tc>
          <w:tcPr>
            <w:tcW w:w="4218" w:type="dxa"/>
          </w:tcPr>
          <w:p w:rsidR="00304963" w:rsidRPr="00CB2681" w:rsidRDefault="00304963" w:rsidP="00D40B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2681">
              <w:rPr>
                <w:rFonts w:ascii="Verdana" w:hAnsi="Verdana"/>
                <w:b/>
                <w:sz w:val="20"/>
                <w:szCs w:val="20"/>
              </w:rPr>
              <w:t>Biological approach (genes, neural, evolution)</w:t>
            </w:r>
          </w:p>
        </w:tc>
        <w:tc>
          <w:tcPr>
            <w:tcW w:w="4019" w:type="dxa"/>
          </w:tcPr>
          <w:p w:rsidR="00304963" w:rsidRPr="00CB2681" w:rsidRDefault="00304963" w:rsidP="00D40B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2681">
              <w:rPr>
                <w:rFonts w:ascii="Verdana" w:hAnsi="Verdana"/>
                <w:b/>
                <w:sz w:val="20"/>
                <w:szCs w:val="20"/>
              </w:rPr>
              <w:t xml:space="preserve">Cognitive approach </w:t>
            </w:r>
          </w:p>
        </w:tc>
        <w:tc>
          <w:tcPr>
            <w:tcW w:w="4011" w:type="dxa"/>
          </w:tcPr>
          <w:p w:rsidR="00304963" w:rsidRPr="00CB2681" w:rsidRDefault="00304963" w:rsidP="00D40B8D">
            <w:pPr>
              <w:rPr>
                <w:b/>
                <w:sz w:val="20"/>
                <w:szCs w:val="20"/>
              </w:rPr>
            </w:pPr>
            <w:r w:rsidRPr="00CB268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Psychodynamic approach</w:t>
            </w:r>
          </w:p>
        </w:tc>
        <w:tc>
          <w:tcPr>
            <w:tcW w:w="3613" w:type="dxa"/>
          </w:tcPr>
          <w:p w:rsidR="00304963" w:rsidRPr="00CB2681" w:rsidRDefault="00304963" w:rsidP="00DE54C8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268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EXT:</w:t>
            </w:r>
          </w:p>
          <w:p w:rsidR="00304963" w:rsidRPr="00CB2681" w:rsidRDefault="00304963" w:rsidP="00CB2681">
            <w:pPr>
              <w:spacing w:after="200"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268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Learning approach</w:t>
            </w:r>
          </w:p>
        </w:tc>
      </w:tr>
      <w:tr w:rsidR="00304963" w:rsidTr="00734C15">
        <w:trPr>
          <w:trHeight w:val="230"/>
        </w:trPr>
        <w:tc>
          <w:tcPr>
            <w:tcW w:w="4218" w:type="dxa"/>
          </w:tcPr>
          <w:p w:rsidR="00F843E1" w:rsidRDefault="00F843E1" w:rsidP="001F62D0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04963" w:rsidRPr="00F843E1" w:rsidRDefault="00CB2681" w:rsidP="001F62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843E1">
              <w:rPr>
                <w:rFonts w:ascii="Verdana" w:hAnsi="Verdana" w:cs="Arial"/>
                <w:bCs/>
                <w:sz w:val="20"/>
                <w:szCs w:val="20"/>
              </w:rPr>
              <w:t>The bio approach is limited as it underestimates the role of environmental factors due to i</w:t>
            </w:r>
            <w:r w:rsidR="00CE534A" w:rsidRPr="00F843E1">
              <w:rPr>
                <w:rFonts w:ascii="Verdana" w:hAnsi="Verdana" w:cs="Arial"/>
                <w:bCs/>
                <w:sz w:val="20"/>
                <w:szCs w:val="20"/>
              </w:rPr>
              <w:t>ts assumption that behaviour is largely explained by genes, hormones, neurochemistry etc.</w:t>
            </w:r>
            <w:r w:rsidR="001F62D0" w:rsidRPr="00F843E1">
              <w:rPr>
                <w:rFonts w:ascii="Verdana" w:hAnsi="Verdana" w:cs="Arial"/>
                <w:bCs/>
                <w:sz w:val="20"/>
                <w:szCs w:val="20"/>
              </w:rPr>
              <w:t xml:space="preserve"> This means bio explanations alone often fail to fully explain certain behaviours e.g. Gender.</w:t>
            </w:r>
          </w:p>
          <w:p w:rsidR="00734C15" w:rsidRPr="00F843E1" w:rsidRDefault="00734C15" w:rsidP="001F62D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9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</w:tcPr>
          <w:p w:rsidR="00304963" w:rsidRPr="00D40B8D" w:rsidRDefault="00304963" w:rsidP="00DE54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04963" w:rsidTr="00734C15">
        <w:trPr>
          <w:trHeight w:val="230"/>
        </w:trPr>
        <w:tc>
          <w:tcPr>
            <w:tcW w:w="4218" w:type="dxa"/>
          </w:tcPr>
          <w:p w:rsidR="00F843E1" w:rsidRDefault="00F843E1" w:rsidP="00CF69A2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D7ACD" w:rsidRPr="00F843E1" w:rsidRDefault="001F62D0" w:rsidP="00CF69A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843E1">
              <w:rPr>
                <w:rFonts w:ascii="Verdana" w:hAnsi="Verdana" w:cs="Arial"/>
                <w:bCs/>
                <w:sz w:val="20"/>
                <w:szCs w:val="20"/>
              </w:rPr>
              <w:t xml:space="preserve">The bio approach often makes use of the experimental method as well as using scientific equipment to measure behaviour (e.g. brain scanning techniques) which means the research </w:t>
            </w:r>
            <w:r w:rsidR="003D7ACD" w:rsidRPr="00F843E1">
              <w:rPr>
                <w:rFonts w:ascii="Verdana" w:hAnsi="Verdana" w:cs="HelveticaNeueLTStd-Roman"/>
                <w:color w:val="000000" w:themeColor="text1"/>
                <w:sz w:val="20"/>
                <w:szCs w:val="20"/>
              </w:rPr>
              <w:t xml:space="preserve">takes place in highly controlled environments so that other researchers are able to replicate studies under the same conditions thus improving the reliability and validity of the original findings. </w:t>
            </w:r>
          </w:p>
          <w:p w:rsidR="00304963" w:rsidRDefault="003D7ACD" w:rsidP="00CF69A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843E1">
              <w:rPr>
                <w:rFonts w:ascii="Verdana" w:hAnsi="Verdana" w:cs="Arial"/>
                <w:bCs/>
                <w:sz w:val="20"/>
                <w:szCs w:val="20"/>
              </w:rPr>
              <w:t>This increases the scientific credibility of biological research</w:t>
            </w:r>
            <w:r w:rsidR="007811EA" w:rsidRPr="00F843E1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:rsidR="00F843E1" w:rsidRPr="00F843E1" w:rsidRDefault="00F843E1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9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</w:tcPr>
          <w:p w:rsidR="00304963" w:rsidRPr="00D40B8D" w:rsidRDefault="00304963" w:rsidP="00DE54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04963" w:rsidTr="00734C15">
        <w:trPr>
          <w:trHeight w:val="230"/>
        </w:trPr>
        <w:tc>
          <w:tcPr>
            <w:tcW w:w="4218" w:type="dxa"/>
          </w:tcPr>
          <w:p w:rsidR="00F843E1" w:rsidRDefault="00F843E1" w:rsidP="00CF69A2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304963" w:rsidRPr="00F843E1" w:rsidRDefault="007811EA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43E1">
              <w:rPr>
                <w:rFonts w:ascii="Verdana" w:hAnsi="Verdana" w:cs="Arial"/>
                <w:bCs/>
                <w:sz w:val="20"/>
                <w:szCs w:val="20"/>
              </w:rPr>
              <w:t xml:space="preserve">The bio approach has led to practical applications for mental health. This is a strength as research has led to the development </w:t>
            </w:r>
            <w:proofErr w:type="gramStart"/>
            <w:r w:rsidRPr="00F843E1">
              <w:rPr>
                <w:rFonts w:ascii="Verdana" w:hAnsi="Verdana" w:cs="Arial"/>
                <w:bCs/>
                <w:sz w:val="20"/>
                <w:szCs w:val="20"/>
              </w:rPr>
              <w:t>of  biological</w:t>
            </w:r>
            <w:proofErr w:type="gramEnd"/>
            <w:r w:rsidRPr="00F843E1">
              <w:rPr>
                <w:rFonts w:ascii="Verdana" w:hAnsi="Verdana" w:cs="Arial"/>
                <w:bCs/>
                <w:sz w:val="20"/>
                <w:szCs w:val="20"/>
              </w:rPr>
              <w:t xml:space="preserve"> therapies for a range of disorders such as OCD. This has helped to alleviate some of the symptoms for sufferers.</w:t>
            </w:r>
          </w:p>
          <w:p w:rsidR="00734C15" w:rsidRDefault="00734C15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843E1" w:rsidRPr="00F843E1" w:rsidRDefault="00F843E1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9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011" w:type="dxa"/>
          </w:tcPr>
          <w:p w:rsidR="00304963" w:rsidRPr="00D40B8D" w:rsidRDefault="00304963" w:rsidP="00CF69A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</w:tcPr>
          <w:p w:rsidR="00304963" w:rsidRPr="00D40B8D" w:rsidRDefault="00304963" w:rsidP="00DE54C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63119" w:rsidRPr="001B1013" w:rsidRDefault="00163119" w:rsidP="00AE17E2">
      <w:pPr>
        <w:rPr>
          <w:rFonts w:ascii="Verdana" w:hAnsi="Verdana" w:cs="Arial"/>
          <w:sz w:val="20"/>
          <w:szCs w:val="20"/>
        </w:rPr>
      </w:pPr>
    </w:p>
    <w:sectPr w:rsidR="00163119" w:rsidRPr="001B1013" w:rsidSect="0073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6F9"/>
    <w:multiLevelType w:val="hybridMultilevel"/>
    <w:tmpl w:val="7994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722A"/>
    <w:multiLevelType w:val="hybridMultilevel"/>
    <w:tmpl w:val="1FE86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B5C2B"/>
    <w:multiLevelType w:val="hybridMultilevel"/>
    <w:tmpl w:val="5AA6F37C"/>
    <w:lvl w:ilvl="0" w:tplc="5B40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1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6E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C4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05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E3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6B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0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AD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2"/>
    <w:rsid w:val="00057A81"/>
    <w:rsid w:val="000A2F52"/>
    <w:rsid w:val="00163119"/>
    <w:rsid w:val="001B1013"/>
    <w:rsid w:val="001E7BCD"/>
    <w:rsid w:val="001F62D0"/>
    <w:rsid w:val="00304963"/>
    <w:rsid w:val="003D7ACD"/>
    <w:rsid w:val="00457675"/>
    <w:rsid w:val="006E3457"/>
    <w:rsid w:val="00734C15"/>
    <w:rsid w:val="007811EA"/>
    <w:rsid w:val="00786EBC"/>
    <w:rsid w:val="009B06D3"/>
    <w:rsid w:val="00A5661A"/>
    <w:rsid w:val="00AE17E2"/>
    <w:rsid w:val="00C32C41"/>
    <w:rsid w:val="00C44430"/>
    <w:rsid w:val="00CB2681"/>
    <w:rsid w:val="00CE534A"/>
    <w:rsid w:val="00CF69A2"/>
    <w:rsid w:val="00D36E41"/>
    <w:rsid w:val="00D40B8D"/>
    <w:rsid w:val="00F843E1"/>
    <w:rsid w:val="00FC3D75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0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8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0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77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9BA2-9242-4C86-96D1-E044F9A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392AFA77.dotm</Template>
  <TotalTime>162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s.pedley</cp:lastModifiedBy>
  <cp:revision>21</cp:revision>
  <cp:lastPrinted>2017-02-28T17:14:00Z</cp:lastPrinted>
  <dcterms:created xsi:type="dcterms:W3CDTF">2017-02-22T17:58:00Z</dcterms:created>
  <dcterms:modified xsi:type="dcterms:W3CDTF">2017-02-28T17:24:00Z</dcterms:modified>
</cp:coreProperties>
</file>