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9C52" w14:textId="43EAF4D7" w:rsidR="00163119" w:rsidRDefault="009D268D" w:rsidP="009D268D">
      <w:pPr>
        <w:jc w:val="center"/>
        <w:rPr>
          <w:rFonts w:ascii="Roboto" w:hAnsi="Roboto" w:cs="Arial"/>
          <w:b/>
          <w:sz w:val="32"/>
          <w:szCs w:val="32"/>
        </w:rPr>
      </w:pPr>
      <w:r w:rsidRPr="009D268D">
        <w:rPr>
          <w:rFonts w:ascii="Roboto" w:hAnsi="Roboto" w:cs="Arial"/>
          <w:b/>
          <w:sz w:val="32"/>
          <w:szCs w:val="32"/>
        </w:rPr>
        <w:t xml:space="preserve">Level 5 </w:t>
      </w:r>
      <w:r w:rsidR="00E22BF8">
        <w:rPr>
          <w:rFonts w:ascii="Roboto" w:hAnsi="Roboto" w:cs="Arial"/>
          <w:b/>
          <w:sz w:val="32"/>
          <w:szCs w:val="32"/>
        </w:rPr>
        <w:t xml:space="preserve">approaches </w:t>
      </w:r>
      <w:bookmarkStart w:id="0" w:name="_GoBack"/>
      <w:bookmarkEnd w:id="0"/>
      <w:r w:rsidRPr="009D268D">
        <w:rPr>
          <w:rFonts w:ascii="Roboto" w:hAnsi="Roboto" w:cs="Arial"/>
          <w:b/>
          <w:sz w:val="32"/>
          <w:szCs w:val="32"/>
        </w:rPr>
        <w:t>revision</w:t>
      </w:r>
    </w:p>
    <w:p w14:paraId="7506484F" w14:textId="42578969" w:rsidR="0087192C" w:rsidRPr="00E22BF8" w:rsidRDefault="0087192C" w:rsidP="0087192C">
      <w:pPr>
        <w:pStyle w:val="indent1new"/>
        <w:numPr>
          <w:ilvl w:val="0"/>
          <w:numId w:val="3"/>
        </w:numPr>
        <w:outlineLvl w:val="5"/>
        <w:rPr>
          <w:rFonts w:asciiTheme="minorHAnsi" w:hAnsiTheme="minorHAnsi" w:cstheme="minorHAnsi"/>
          <w:sz w:val="24"/>
          <w:szCs w:val="24"/>
          <w:lang w:val="en"/>
        </w:rPr>
      </w:pPr>
      <w:r w:rsidRPr="00E22BF8">
        <w:rPr>
          <w:rFonts w:asciiTheme="minorHAnsi" w:hAnsiTheme="minorHAnsi" w:cstheme="minorHAnsi"/>
          <w:sz w:val="24"/>
          <w:szCs w:val="24"/>
          <w:lang w:val="en"/>
        </w:rPr>
        <w:t xml:space="preserve">Outline </w:t>
      </w:r>
      <w:r w:rsidRPr="00E22BF8">
        <w:rPr>
          <w:rFonts w:asciiTheme="minorHAnsi" w:hAnsiTheme="minorHAnsi" w:cstheme="minorHAnsi"/>
          <w:b/>
          <w:bCs/>
          <w:sz w:val="24"/>
          <w:szCs w:val="24"/>
          <w:lang w:val="en"/>
        </w:rPr>
        <w:t>two</w:t>
      </w:r>
      <w:r w:rsidRPr="00E22BF8">
        <w:rPr>
          <w:rFonts w:asciiTheme="minorHAnsi" w:hAnsiTheme="minorHAnsi" w:cstheme="minorHAnsi"/>
          <w:sz w:val="24"/>
          <w:szCs w:val="24"/>
          <w:lang w:val="en"/>
        </w:rPr>
        <w:t xml:space="preserve"> features of the cognitive approach. Explain </w:t>
      </w:r>
      <w:r w:rsidRPr="00E22BF8">
        <w:rPr>
          <w:rFonts w:asciiTheme="minorHAnsi" w:hAnsiTheme="minorHAnsi" w:cstheme="minorHAnsi"/>
          <w:b/>
          <w:bCs/>
          <w:sz w:val="24"/>
          <w:szCs w:val="24"/>
          <w:lang w:val="en"/>
        </w:rPr>
        <w:t>two</w:t>
      </w:r>
      <w:r w:rsidRPr="00E22BF8">
        <w:rPr>
          <w:rFonts w:asciiTheme="minorHAnsi" w:hAnsiTheme="minorHAnsi" w:cstheme="minorHAnsi"/>
          <w:sz w:val="24"/>
          <w:szCs w:val="24"/>
          <w:lang w:val="en"/>
        </w:rPr>
        <w:t xml:space="preserve"> limitations of the cognitive approach.</w:t>
      </w:r>
    </w:p>
    <w:p w14:paraId="0D10FC5B" w14:textId="18B95454" w:rsidR="0087192C" w:rsidRPr="00E22BF8" w:rsidRDefault="0087192C" w:rsidP="0087192C">
      <w:pPr>
        <w:pStyle w:val="mark"/>
        <w:outlineLvl w:val="5"/>
        <w:rPr>
          <w:rFonts w:asciiTheme="minorHAnsi" w:hAnsiTheme="minorHAnsi" w:cstheme="minorHAnsi"/>
          <w:sz w:val="24"/>
          <w:szCs w:val="24"/>
          <w:lang w:val="en"/>
        </w:rPr>
      </w:pPr>
      <w:r w:rsidRPr="00E22BF8">
        <w:rPr>
          <w:rFonts w:asciiTheme="minorHAnsi" w:hAnsiTheme="minorHAnsi" w:cstheme="minorHAnsi"/>
          <w:sz w:val="24"/>
          <w:szCs w:val="24"/>
          <w:lang w:val="en"/>
        </w:rPr>
        <w:t>(Total 8 marks)</w:t>
      </w:r>
    </w:p>
    <w:p w14:paraId="18E4CA66" w14:textId="1C356128" w:rsidR="0087192C" w:rsidRPr="00E22BF8" w:rsidRDefault="0087192C" w:rsidP="0087192C">
      <w:pPr>
        <w:pStyle w:val="mark"/>
        <w:outlineLvl w:val="5"/>
        <w:rPr>
          <w:rFonts w:asciiTheme="minorHAnsi" w:hAnsiTheme="minorHAnsi" w:cstheme="minorHAnsi"/>
          <w:sz w:val="24"/>
          <w:szCs w:val="24"/>
          <w:lang w:val="en"/>
        </w:rPr>
      </w:pPr>
    </w:p>
    <w:p w14:paraId="7B7C46AC" w14:textId="77777777" w:rsidR="0087192C" w:rsidRPr="00E22BF8" w:rsidRDefault="0087192C" w:rsidP="0087192C">
      <w:pPr>
        <w:pStyle w:val="ListParagraph"/>
        <w:numPr>
          <w:ilvl w:val="0"/>
          <w:numId w:val="3"/>
        </w:numPr>
        <w:overflowPunct w:val="0"/>
        <w:autoSpaceDE w:val="0"/>
        <w:autoSpaceDN w:val="0"/>
        <w:spacing w:before="240" w:after="0" w:line="240" w:lineRule="auto"/>
        <w:ind w:right="567"/>
        <w:outlineLvl w:val="5"/>
        <w:rPr>
          <w:rFonts w:eastAsia="Times New Roman" w:cstheme="minorHAnsi"/>
          <w:sz w:val="24"/>
          <w:szCs w:val="24"/>
          <w:lang w:val="en" w:eastAsia="en-GB"/>
        </w:rPr>
      </w:pPr>
      <w:r w:rsidRPr="00E22BF8">
        <w:rPr>
          <w:rFonts w:eastAsia="Times New Roman" w:cstheme="minorHAnsi"/>
          <w:sz w:val="24"/>
          <w:szCs w:val="24"/>
          <w:lang w:val="en" w:eastAsia="en-GB"/>
        </w:rPr>
        <w:t>In a study of tooth decay, researchers checked the dental records of 100 pairs of identical twins. They recorded the number of fillings for each twin and found the following data:</w:t>
      </w:r>
    </w:p>
    <w:p w14:paraId="69B03403" w14:textId="77777777" w:rsidR="0087192C" w:rsidRPr="00E22BF8" w:rsidRDefault="0087192C" w:rsidP="0087192C">
      <w:pPr>
        <w:spacing w:after="0" w:line="240" w:lineRule="auto"/>
        <w:ind w:left="567"/>
        <w:outlineLvl w:val="5"/>
        <w:rPr>
          <w:rFonts w:eastAsia="Times New Roman" w:cstheme="minorHAnsi"/>
          <w:sz w:val="24"/>
          <w:szCs w:val="24"/>
          <w:lang w:val="en" w:eastAsia="en-GB"/>
        </w:rPr>
      </w:pPr>
      <w:r w:rsidRPr="00E22BF8">
        <w:rPr>
          <w:rFonts w:eastAsia="Times New Roman" w:cstheme="minorHAnsi"/>
          <w:sz w:val="24"/>
          <w:szCs w:val="24"/>
          <w:lang w:val="en" w:eastAsia="en-GB"/>
        </w:rPr>
        <w:t> </w:t>
      </w:r>
    </w:p>
    <w:tbl>
      <w:tblPr>
        <w:tblW w:w="0" w:type="auto"/>
        <w:tblInd w:w="1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"/>
        <w:gridCol w:w="4080"/>
        <w:gridCol w:w="4080"/>
      </w:tblGrid>
      <w:tr w:rsidR="0087192C" w:rsidRPr="00E22BF8" w14:paraId="07533079" w14:textId="77777777" w:rsidTr="00A91B97"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836ED" w14:textId="77777777" w:rsidR="0087192C" w:rsidRPr="00E22BF8" w:rsidRDefault="0087192C" w:rsidP="00A91B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22BF8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FE1C9" w14:textId="77777777" w:rsidR="0087192C" w:rsidRPr="00E22BF8" w:rsidRDefault="0087192C" w:rsidP="00A91B97">
            <w:pPr>
              <w:spacing w:before="120" w:after="120" w:line="240" w:lineRule="auto"/>
              <w:ind w:left="60" w:right="60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22BF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Twin pairs with the same number of fillings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5C4FE" w14:textId="77777777" w:rsidR="0087192C" w:rsidRPr="00E22BF8" w:rsidRDefault="0087192C" w:rsidP="00A91B97">
            <w:pPr>
              <w:spacing w:before="120" w:after="120" w:line="240" w:lineRule="auto"/>
              <w:ind w:left="60" w:right="60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22BF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Twin pairs with different number of fillings</w:t>
            </w:r>
          </w:p>
        </w:tc>
      </w:tr>
      <w:tr w:rsidR="0087192C" w:rsidRPr="00E22BF8" w14:paraId="6E5BACC6" w14:textId="77777777" w:rsidTr="00A91B97"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75086" w14:textId="77777777" w:rsidR="0087192C" w:rsidRPr="00E22BF8" w:rsidRDefault="0087192C" w:rsidP="00A91B9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22BF8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8F1DC" w14:textId="77777777" w:rsidR="0087192C" w:rsidRPr="00E22BF8" w:rsidRDefault="0087192C" w:rsidP="00A91B97">
            <w:pPr>
              <w:spacing w:before="120" w:after="120" w:line="240" w:lineRule="auto"/>
              <w:ind w:left="60" w:right="60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22BF8">
              <w:rPr>
                <w:rFonts w:eastAsia="Times New Roman" w:cstheme="minorHAns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33BD8" w14:textId="77777777" w:rsidR="0087192C" w:rsidRPr="00E22BF8" w:rsidRDefault="0087192C" w:rsidP="00A91B97">
            <w:pPr>
              <w:spacing w:before="120" w:after="120" w:line="240" w:lineRule="auto"/>
              <w:ind w:left="60" w:right="60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E22BF8">
              <w:rPr>
                <w:rFonts w:eastAsia="Times New Roman" w:cstheme="minorHAnsi"/>
                <w:sz w:val="24"/>
                <w:szCs w:val="24"/>
                <w:lang w:eastAsia="en-GB"/>
              </w:rPr>
              <w:t>52</w:t>
            </w:r>
          </w:p>
        </w:tc>
      </w:tr>
    </w:tbl>
    <w:p w14:paraId="4E0029EE" w14:textId="7CC9EDF5" w:rsidR="0087192C" w:rsidRPr="00E22BF8" w:rsidRDefault="0087192C" w:rsidP="0087192C">
      <w:pPr>
        <w:pStyle w:val="ListParagraph"/>
        <w:overflowPunct w:val="0"/>
        <w:autoSpaceDE w:val="0"/>
        <w:autoSpaceDN w:val="0"/>
        <w:spacing w:before="240" w:after="0" w:line="240" w:lineRule="auto"/>
        <w:ind w:left="927" w:right="567"/>
        <w:outlineLvl w:val="5"/>
        <w:rPr>
          <w:rFonts w:eastAsia="Times New Roman" w:cstheme="minorHAnsi"/>
          <w:sz w:val="24"/>
          <w:szCs w:val="24"/>
          <w:lang w:val="en" w:eastAsia="en-GB"/>
        </w:rPr>
      </w:pPr>
      <w:r w:rsidRPr="00E22BF8">
        <w:rPr>
          <w:rFonts w:eastAsia="Times New Roman" w:cstheme="minorHAnsi"/>
          <w:sz w:val="24"/>
          <w:szCs w:val="24"/>
          <w:lang w:val="en" w:eastAsia="en-GB"/>
        </w:rPr>
        <w:t xml:space="preserve">Use your knowledge of genotype and phenotype to explain the </w:t>
      </w:r>
      <w:r w:rsidRPr="00E22BF8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data </w:t>
      </w:r>
      <w:r w:rsidRPr="00E22BF8">
        <w:rPr>
          <w:rFonts w:eastAsia="Times New Roman" w:cstheme="minorHAnsi"/>
          <w:sz w:val="24"/>
          <w:szCs w:val="24"/>
          <w:lang w:val="en" w:eastAsia="en-GB"/>
        </w:rPr>
        <w:t>in the table above</w:t>
      </w:r>
      <w:r w:rsidRPr="00E22BF8">
        <w:rPr>
          <w:rFonts w:eastAsia="Times New Roman" w:cstheme="minorHAnsi"/>
          <w:sz w:val="24"/>
          <w:szCs w:val="24"/>
          <w:lang w:val="en" w:eastAsia="en-GB"/>
        </w:rPr>
        <w:t xml:space="preserve"> (4 marks)</w:t>
      </w:r>
    </w:p>
    <w:p w14:paraId="687B550A" w14:textId="70BA6ED6" w:rsidR="0087192C" w:rsidRPr="00E22BF8" w:rsidRDefault="0087192C" w:rsidP="0087192C">
      <w:pPr>
        <w:rPr>
          <w:rFonts w:cstheme="minorHAnsi"/>
          <w:sz w:val="24"/>
          <w:szCs w:val="24"/>
        </w:rPr>
      </w:pPr>
    </w:p>
    <w:p w14:paraId="5E7A5D50" w14:textId="77777777" w:rsidR="0087192C" w:rsidRPr="00E22BF8" w:rsidRDefault="0087192C" w:rsidP="0087192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22BF8">
        <w:rPr>
          <w:rFonts w:cstheme="minorHAnsi"/>
          <w:sz w:val="24"/>
          <w:szCs w:val="24"/>
        </w:rPr>
        <w:t xml:space="preserve">A psychologist carried out a study of social learning. As part of the procedure, he showed children aged 4-5 years a film of a </w:t>
      </w:r>
      <w:proofErr w:type="gramStart"/>
      <w:r w:rsidRPr="00E22BF8">
        <w:rPr>
          <w:rFonts w:cstheme="minorHAnsi"/>
          <w:sz w:val="24"/>
          <w:szCs w:val="24"/>
        </w:rPr>
        <w:t>4 year-old</w:t>
      </w:r>
      <w:proofErr w:type="gramEnd"/>
      <w:r w:rsidRPr="00E22BF8">
        <w:rPr>
          <w:rFonts w:cstheme="minorHAnsi"/>
          <w:sz w:val="24"/>
          <w:szCs w:val="24"/>
        </w:rPr>
        <w:t xml:space="preserve"> boy stroking a puppy. Whilst the children watched the film, the psychologist commented on how kind the boy was. After the children had watched the film, the psychologist brought a puppy into the room and watched to see how the children behaved with the puppy.</w:t>
      </w:r>
    </w:p>
    <w:p w14:paraId="175AA97F" w14:textId="7A8DBD77" w:rsidR="0087192C" w:rsidRPr="00E22BF8" w:rsidRDefault="0087192C" w:rsidP="0087192C">
      <w:pPr>
        <w:pStyle w:val="ListParagraph"/>
        <w:ind w:left="927"/>
        <w:rPr>
          <w:rFonts w:cstheme="minorHAnsi"/>
          <w:sz w:val="24"/>
          <w:szCs w:val="24"/>
        </w:rPr>
      </w:pPr>
    </w:p>
    <w:p w14:paraId="0C25220A" w14:textId="6A2617D4" w:rsidR="0087192C" w:rsidRDefault="0087192C" w:rsidP="0087192C">
      <w:pPr>
        <w:pStyle w:val="ListParagraph"/>
        <w:ind w:left="927"/>
        <w:rPr>
          <w:rFonts w:cstheme="minorHAnsi"/>
          <w:sz w:val="24"/>
          <w:szCs w:val="24"/>
        </w:rPr>
      </w:pPr>
      <w:r w:rsidRPr="00E22BF8">
        <w:rPr>
          <w:rFonts w:cstheme="minorHAnsi"/>
          <w:sz w:val="24"/>
          <w:szCs w:val="24"/>
        </w:rPr>
        <w:t>Outline what is meant by social learning theory and explain how social learning might have occurred in the procedure described above</w:t>
      </w:r>
      <w:r w:rsidRPr="00E22BF8">
        <w:rPr>
          <w:rFonts w:cstheme="minorHAnsi"/>
          <w:sz w:val="24"/>
          <w:szCs w:val="24"/>
        </w:rPr>
        <w:t xml:space="preserve"> (6 marks)</w:t>
      </w:r>
    </w:p>
    <w:p w14:paraId="526D0744" w14:textId="77777777" w:rsidR="00E22BF8" w:rsidRPr="00E22BF8" w:rsidRDefault="00E22BF8" w:rsidP="0087192C">
      <w:pPr>
        <w:pStyle w:val="ListParagraph"/>
        <w:ind w:left="927"/>
        <w:rPr>
          <w:rFonts w:cstheme="minorHAnsi"/>
          <w:sz w:val="24"/>
          <w:szCs w:val="24"/>
        </w:rPr>
      </w:pPr>
    </w:p>
    <w:p w14:paraId="72361149" w14:textId="6B8469D8" w:rsidR="0087192C" w:rsidRPr="00E22BF8" w:rsidRDefault="0087192C" w:rsidP="0087192C">
      <w:pPr>
        <w:pStyle w:val="mark"/>
        <w:numPr>
          <w:ilvl w:val="0"/>
          <w:numId w:val="3"/>
        </w:numPr>
        <w:jc w:val="left"/>
        <w:outlineLvl w:val="5"/>
        <w:rPr>
          <w:rFonts w:asciiTheme="minorHAnsi" w:hAnsiTheme="minorHAnsi" w:cstheme="minorHAnsi"/>
          <w:b w:val="0"/>
          <w:bCs w:val="0"/>
          <w:sz w:val="24"/>
          <w:szCs w:val="24"/>
          <w:lang w:val="en"/>
        </w:rPr>
      </w:pPr>
      <w:r w:rsidRPr="00E22BF8">
        <w:rPr>
          <w:rFonts w:asciiTheme="minorHAnsi" w:hAnsiTheme="minorHAnsi" w:cstheme="minorHAnsi"/>
          <w:b w:val="0"/>
          <w:bCs w:val="0"/>
          <w:sz w:val="24"/>
          <w:szCs w:val="24"/>
          <w:lang w:val="en"/>
        </w:rPr>
        <w:t>Read the item and then answer the question that follows.</w:t>
      </w:r>
    </w:p>
    <w:p w14:paraId="3F791915" w14:textId="77777777" w:rsidR="00E22BF8" w:rsidRPr="00E22BF8" w:rsidRDefault="0087192C" w:rsidP="0087192C">
      <w:pPr>
        <w:pStyle w:val="mark"/>
        <w:ind w:left="567"/>
        <w:jc w:val="left"/>
        <w:outlineLvl w:val="5"/>
        <w:rPr>
          <w:rFonts w:asciiTheme="minorHAnsi" w:hAnsiTheme="minorHAnsi" w:cstheme="minorHAnsi"/>
          <w:b w:val="0"/>
          <w:bCs w:val="0"/>
          <w:sz w:val="24"/>
          <w:szCs w:val="24"/>
          <w:lang w:val="en"/>
        </w:rPr>
      </w:pPr>
      <w:r w:rsidRPr="00E22BF8">
        <w:rPr>
          <w:rFonts w:asciiTheme="minorHAnsi" w:hAnsiTheme="minorHAnsi" w:cstheme="minorHAnsi"/>
          <w:b w:val="0"/>
          <w:bCs w:val="0"/>
          <w:sz w:val="24"/>
          <w:szCs w:val="24"/>
          <w:lang w:val="en"/>
        </w:rPr>
        <w:t xml:space="preserve">In a laboratory study of problem-solving, cognitive psychologists asked participants to solve problems presented in different </w:t>
      </w:r>
      <w:proofErr w:type="spellStart"/>
      <w:r w:rsidRPr="00E22BF8">
        <w:rPr>
          <w:rFonts w:asciiTheme="minorHAnsi" w:hAnsiTheme="minorHAnsi" w:cstheme="minorHAnsi"/>
          <w:b w:val="0"/>
          <w:bCs w:val="0"/>
          <w:sz w:val="24"/>
          <w:szCs w:val="24"/>
          <w:lang w:val="en"/>
        </w:rPr>
        <w:t>colours</w:t>
      </w:r>
      <w:proofErr w:type="spellEnd"/>
      <w:r w:rsidRPr="00E22BF8">
        <w:rPr>
          <w:rFonts w:asciiTheme="minorHAnsi" w:hAnsiTheme="minorHAnsi" w:cstheme="minorHAnsi"/>
          <w:b w:val="0"/>
          <w:bCs w:val="0"/>
          <w:sz w:val="24"/>
          <w:szCs w:val="24"/>
          <w:lang w:val="en"/>
        </w:rPr>
        <w:t xml:space="preserve"> of ink. They found that it took longer to solve problems presented in green ink, than it did to solve problems presented in other </w:t>
      </w:r>
      <w:proofErr w:type="spellStart"/>
      <w:r w:rsidRPr="00E22BF8">
        <w:rPr>
          <w:rFonts w:asciiTheme="minorHAnsi" w:hAnsiTheme="minorHAnsi" w:cstheme="minorHAnsi"/>
          <w:b w:val="0"/>
          <w:bCs w:val="0"/>
          <w:sz w:val="24"/>
          <w:szCs w:val="24"/>
          <w:lang w:val="en"/>
        </w:rPr>
        <w:t>colours</w:t>
      </w:r>
      <w:proofErr w:type="spellEnd"/>
      <w:r w:rsidRPr="00E22BF8">
        <w:rPr>
          <w:rFonts w:asciiTheme="minorHAnsi" w:hAnsiTheme="minorHAnsi" w:cstheme="minorHAnsi"/>
          <w:b w:val="0"/>
          <w:bCs w:val="0"/>
          <w:sz w:val="24"/>
          <w:szCs w:val="24"/>
          <w:lang w:val="en"/>
        </w:rPr>
        <w:t>. They inferred that the mental processing of problems is made more difficult when a problem is presented in green</w:t>
      </w:r>
      <w:r w:rsidR="00E22BF8" w:rsidRPr="00E22BF8">
        <w:rPr>
          <w:rFonts w:asciiTheme="minorHAnsi" w:hAnsiTheme="minorHAnsi" w:cstheme="minorHAnsi"/>
          <w:b w:val="0"/>
          <w:bCs w:val="0"/>
          <w:sz w:val="24"/>
          <w:szCs w:val="24"/>
          <w:lang w:val="en"/>
        </w:rPr>
        <w:t xml:space="preserve"> ink. </w:t>
      </w:r>
    </w:p>
    <w:p w14:paraId="1965B1D0" w14:textId="0A996C9B" w:rsidR="0087192C" w:rsidRPr="00E22BF8" w:rsidRDefault="0087192C" w:rsidP="0087192C">
      <w:pPr>
        <w:pStyle w:val="mark"/>
        <w:ind w:left="567"/>
        <w:jc w:val="left"/>
        <w:outlineLvl w:val="5"/>
        <w:rPr>
          <w:rFonts w:asciiTheme="minorHAnsi" w:hAnsiTheme="minorHAnsi" w:cstheme="minorHAnsi"/>
          <w:b w:val="0"/>
          <w:bCs w:val="0"/>
          <w:sz w:val="24"/>
          <w:szCs w:val="24"/>
          <w:lang w:val="en"/>
        </w:rPr>
      </w:pPr>
      <w:r w:rsidRPr="00E22BF8">
        <w:rPr>
          <w:rFonts w:asciiTheme="minorHAnsi" w:hAnsiTheme="minorHAnsi" w:cstheme="minorHAnsi"/>
          <w:b w:val="0"/>
          <w:bCs w:val="0"/>
          <w:sz w:val="24"/>
          <w:szCs w:val="24"/>
          <w:lang w:val="en"/>
        </w:rPr>
        <w:t>Explain what is meant by ‘inference’ in relation to this study.</w:t>
      </w:r>
      <w:r w:rsidR="00E22BF8" w:rsidRPr="00E22BF8">
        <w:rPr>
          <w:rFonts w:asciiTheme="minorHAnsi" w:hAnsiTheme="minorHAnsi" w:cstheme="minorHAnsi"/>
          <w:b w:val="0"/>
          <w:bCs w:val="0"/>
          <w:sz w:val="24"/>
          <w:szCs w:val="24"/>
          <w:lang w:val="en"/>
        </w:rPr>
        <w:t xml:space="preserve"> (2 marks)</w:t>
      </w:r>
    </w:p>
    <w:p w14:paraId="5FADFA0F" w14:textId="77777777" w:rsidR="0087192C" w:rsidRPr="00E22BF8" w:rsidRDefault="0087192C" w:rsidP="0087192C">
      <w:pPr>
        <w:rPr>
          <w:rFonts w:cstheme="minorHAnsi"/>
          <w:sz w:val="24"/>
          <w:szCs w:val="24"/>
        </w:rPr>
      </w:pPr>
    </w:p>
    <w:p w14:paraId="5BFDD8AC" w14:textId="783D02DE" w:rsidR="009D268D" w:rsidRPr="00E22BF8" w:rsidRDefault="00E22BF8" w:rsidP="00E22BF8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E22BF8">
        <w:rPr>
          <w:rFonts w:cstheme="minorHAnsi"/>
          <w:bCs/>
          <w:sz w:val="24"/>
          <w:szCs w:val="24"/>
        </w:rPr>
        <w:t>Outline the psychodynamic approach in psychology. Discuss one or more differences between the psychodynamic approach and the humanistic approach</w:t>
      </w:r>
      <w:r w:rsidRPr="00E22BF8">
        <w:rPr>
          <w:rFonts w:cstheme="minorHAnsi"/>
          <w:bCs/>
          <w:sz w:val="24"/>
          <w:szCs w:val="24"/>
        </w:rPr>
        <w:t xml:space="preserve"> (8 marks)</w:t>
      </w:r>
    </w:p>
    <w:p w14:paraId="57A3ED8B" w14:textId="0970A7DC" w:rsidR="00E22BF8" w:rsidRPr="00E22BF8" w:rsidRDefault="00E22BF8" w:rsidP="00E22BF8">
      <w:pPr>
        <w:rPr>
          <w:rFonts w:cstheme="minorHAnsi"/>
          <w:bCs/>
          <w:sz w:val="24"/>
          <w:szCs w:val="24"/>
        </w:rPr>
      </w:pPr>
    </w:p>
    <w:p w14:paraId="4485CDC2" w14:textId="77777777" w:rsidR="00E22BF8" w:rsidRPr="00E22BF8" w:rsidRDefault="00E22BF8" w:rsidP="00E22BF8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E22BF8">
        <w:rPr>
          <w:rFonts w:cstheme="minorHAnsi"/>
          <w:bCs/>
          <w:sz w:val="24"/>
          <w:szCs w:val="24"/>
        </w:rPr>
        <w:t>Marc is often frustrated and angry, but most of the time he keeps his feelings under control. One day, during a meeting at work, Marc stormed out of the room and kicked the drinks machine so hard that the glass screen broke.</w:t>
      </w:r>
    </w:p>
    <w:p w14:paraId="41E4520D" w14:textId="1E46F40B" w:rsidR="00E22BF8" w:rsidRPr="00E22BF8" w:rsidRDefault="00E22BF8" w:rsidP="00E22BF8">
      <w:pPr>
        <w:pStyle w:val="ListParagraph"/>
        <w:ind w:left="927"/>
        <w:rPr>
          <w:rFonts w:cstheme="minorHAnsi"/>
          <w:bCs/>
          <w:sz w:val="24"/>
          <w:szCs w:val="24"/>
        </w:rPr>
      </w:pPr>
      <w:r w:rsidRPr="00E22BF8">
        <w:rPr>
          <w:rFonts w:cstheme="minorHAnsi"/>
          <w:bCs/>
          <w:sz w:val="24"/>
          <w:szCs w:val="24"/>
        </w:rPr>
        <w:t xml:space="preserve"> Suggest how a psychodynamic psychologist might explain Marc’s behaviour</w:t>
      </w:r>
      <w:r w:rsidRPr="00E22BF8">
        <w:rPr>
          <w:rFonts w:cstheme="minorHAnsi"/>
          <w:bCs/>
          <w:sz w:val="24"/>
          <w:szCs w:val="24"/>
        </w:rPr>
        <w:t xml:space="preserve"> (2 marks)</w:t>
      </w:r>
    </w:p>
    <w:p w14:paraId="346E2E6E" w14:textId="77777777" w:rsidR="009D268D" w:rsidRPr="00E22BF8" w:rsidRDefault="009D268D" w:rsidP="009D268D">
      <w:pPr>
        <w:rPr>
          <w:rFonts w:cstheme="minorHAnsi"/>
          <w:b/>
          <w:sz w:val="24"/>
          <w:szCs w:val="24"/>
        </w:rPr>
      </w:pPr>
    </w:p>
    <w:p w14:paraId="1FC39E6D" w14:textId="0A851A71" w:rsidR="00E22BF8" w:rsidRDefault="00E22BF8" w:rsidP="00E22BF8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Dave is afraid of dogs. Using the behaviourist approach explain why he might </w:t>
      </w:r>
      <w:proofErr w:type="gramStart"/>
      <w:r>
        <w:rPr>
          <w:rFonts w:cstheme="minorHAnsi"/>
          <w:bCs/>
          <w:sz w:val="24"/>
          <w:szCs w:val="24"/>
        </w:rPr>
        <w:t>be scared of</w:t>
      </w:r>
      <w:proofErr w:type="gramEnd"/>
      <w:r>
        <w:rPr>
          <w:rFonts w:cstheme="minorHAnsi"/>
          <w:bCs/>
          <w:sz w:val="24"/>
          <w:szCs w:val="24"/>
        </w:rPr>
        <w:t xml:space="preserve"> dogs (6 marks)</w:t>
      </w:r>
    </w:p>
    <w:p w14:paraId="204BF2CA" w14:textId="6B9A7692" w:rsidR="009D268D" w:rsidRPr="00E22BF8" w:rsidRDefault="00E22BF8" w:rsidP="00E22BF8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E22BF8">
        <w:rPr>
          <w:rFonts w:cstheme="minorHAnsi"/>
          <w:bCs/>
          <w:sz w:val="24"/>
          <w:szCs w:val="24"/>
        </w:rPr>
        <w:t>Outline and evaluate the humanist approach (8 marks)</w:t>
      </w:r>
    </w:p>
    <w:p w14:paraId="5937D451" w14:textId="7D8FEC51" w:rsidR="009D268D" w:rsidRPr="00E22BF8" w:rsidRDefault="009D268D" w:rsidP="009D268D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E22BF8">
        <w:rPr>
          <w:rFonts w:cstheme="minorHAnsi"/>
          <w:bCs/>
          <w:sz w:val="24"/>
          <w:szCs w:val="24"/>
        </w:rPr>
        <w:t>Outline the psychodynamic approach in psychology</w:t>
      </w:r>
      <w:r w:rsidR="00E22BF8" w:rsidRPr="00E22BF8">
        <w:rPr>
          <w:rFonts w:cstheme="minorHAnsi"/>
          <w:bCs/>
          <w:sz w:val="24"/>
          <w:szCs w:val="24"/>
        </w:rPr>
        <w:t xml:space="preserve"> (6 marks)</w:t>
      </w:r>
    </w:p>
    <w:p w14:paraId="18D0425A" w14:textId="37AB5E41" w:rsidR="009D268D" w:rsidRPr="00E22BF8" w:rsidRDefault="00E22BF8" w:rsidP="00E22BF8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E22BF8">
        <w:rPr>
          <w:rFonts w:cstheme="minorHAnsi"/>
          <w:bCs/>
          <w:sz w:val="24"/>
          <w:szCs w:val="24"/>
        </w:rPr>
        <w:t>Discuss the cognitive approach in psychology (8 marks)</w:t>
      </w:r>
    </w:p>
    <w:p w14:paraId="444BC04D" w14:textId="5C2AA8CC" w:rsidR="00E22BF8" w:rsidRPr="00E22BF8" w:rsidRDefault="00E22BF8" w:rsidP="00E22BF8">
      <w:pPr>
        <w:pStyle w:val="ListParagraph"/>
        <w:ind w:left="927"/>
        <w:rPr>
          <w:rFonts w:cstheme="minorHAnsi"/>
          <w:bCs/>
          <w:sz w:val="24"/>
          <w:szCs w:val="24"/>
        </w:rPr>
      </w:pPr>
    </w:p>
    <w:sectPr w:rsidR="00E22BF8" w:rsidRPr="00E22BF8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04E0"/>
    <w:multiLevelType w:val="hybridMultilevel"/>
    <w:tmpl w:val="CD82A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E207D"/>
    <w:multiLevelType w:val="hybridMultilevel"/>
    <w:tmpl w:val="BC92CF8E"/>
    <w:lvl w:ilvl="0" w:tplc="87845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6134F2"/>
    <w:multiLevelType w:val="hybridMultilevel"/>
    <w:tmpl w:val="BD341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68D"/>
    <w:rsid w:val="000A2F52"/>
    <w:rsid w:val="00163119"/>
    <w:rsid w:val="001B1013"/>
    <w:rsid w:val="0087192C"/>
    <w:rsid w:val="009D268D"/>
    <w:rsid w:val="00B055A9"/>
    <w:rsid w:val="00E2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A318"/>
  <w15:docId w15:val="{6A83B3D4-67E1-4B14-9EA1-E9BCA09B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68D"/>
    <w:pPr>
      <w:ind w:left="720"/>
      <w:contextualSpacing/>
    </w:pPr>
  </w:style>
  <w:style w:type="paragraph" w:customStyle="1" w:styleId="mark">
    <w:name w:val="mark"/>
    <w:basedOn w:val="Normal"/>
    <w:rsid w:val="0087192C"/>
    <w:pPr>
      <w:overflowPunct w:val="0"/>
      <w:autoSpaceDE w:val="0"/>
      <w:autoSpaceDN w:val="0"/>
      <w:spacing w:after="0" w:line="240" w:lineRule="atLeast"/>
      <w:jc w:val="right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indent1new">
    <w:name w:val="indent1new"/>
    <w:basedOn w:val="Normal"/>
    <w:rsid w:val="0087192C"/>
    <w:pPr>
      <w:overflowPunct w:val="0"/>
      <w:autoSpaceDE w:val="0"/>
      <w:autoSpaceDN w:val="0"/>
      <w:spacing w:before="240" w:after="0" w:line="240" w:lineRule="auto"/>
      <w:ind w:left="567" w:right="567"/>
    </w:pPr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625C-4059-4BB2-B36A-8A00E337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angela Fantis</cp:lastModifiedBy>
  <cp:revision>2</cp:revision>
  <cp:lastPrinted>2018-03-05T16:35:00Z</cp:lastPrinted>
  <dcterms:created xsi:type="dcterms:W3CDTF">2019-07-16T13:14:00Z</dcterms:created>
  <dcterms:modified xsi:type="dcterms:W3CDTF">2019-07-16T13:14:00Z</dcterms:modified>
</cp:coreProperties>
</file>