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0F7DB2" w:rsidTr="00283566">
        <w:tc>
          <w:tcPr>
            <w:tcW w:w="15614" w:type="dxa"/>
            <w:gridSpan w:val="2"/>
          </w:tcPr>
          <w:p w:rsidR="000F7DB2" w:rsidRPr="000F7DB2" w:rsidRDefault="000F7DB2" w:rsidP="000F7DB2">
            <w:pPr>
              <w:jc w:val="center"/>
              <w:rPr>
                <w:rFonts w:ascii="Roboto" w:hAnsi="Roboto" w:cs="Arial"/>
                <w:b/>
                <w:sz w:val="24"/>
                <w:szCs w:val="24"/>
              </w:rPr>
            </w:pPr>
            <w:bookmarkStart w:id="0" w:name="_GoBack"/>
            <w:bookmarkEnd w:id="0"/>
            <w:r w:rsidRPr="000F7DB2">
              <w:rPr>
                <w:rFonts w:ascii="Roboto" w:hAnsi="Roboto" w:cs="Arial"/>
                <w:b/>
                <w:sz w:val="24"/>
                <w:szCs w:val="24"/>
              </w:rPr>
              <w:t>Outline and evaluate explanations of atypical Gender Development</w:t>
            </w:r>
          </w:p>
        </w:tc>
      </w:tr>
      <w:tr w:rsidR="000F7DB2" w:rsidTr="000F7DB2">
        <w:tc>
          <w:tcPr>
            <w:tcW w:w="7807" w:type="dxa"/>
          </w:tcPr>
          <w:p w:rsidR="000F7DB2" w:rsidRPr="000F7DB2" w:rsidRDefault="000F7DB2" w:rsidP="000F7DB2">
            <w:pPr>
              <w:jc w:val="center"/>
              <w:rPr>
                <w:rFonts w:ascii="Roboto" w:hAnsi="Roboto" w:cs="Arial"/>
                <w:b/>
                <w:sz w:val="20"/>
                <w:szCs w:val="20"/>
              </w:rPr>
            </w:pPr>
            <w:r w:rsidRPr="000F7DB2">
              <w:rPr>
                <w:rFonts w:ascii="Roboto" w:hAnsi="Roboto" w:cs="Arial"/>
                <w:b/>
                <w:sz w:val="20"/>
                <w:szCs w:val="20"/>
              </w:rPr>
              <w:t>Biological explanations</w:t>
            </w:r>
          </w:p>
        </w:tc>
        <w:tc>
          <w:tcPr>
            <w:tcW w:w="7807" w:type="dxa"/>
          </w:tcPr>
          <w:p w:rsidR="000F7DB2" w:rsidRPr="000F7DB2" w:rsidRDefault="000F7DB2" w:rsidP="000F7DB2">
            <w:pPr>
              <w:jc w:val="center"/>
              <w:rPr>
                <w:rFonts w:ascii="Roboto" w:hAnsi="Roboto" w:cs="Arial"/>
                <w:b/>
                <w:sz w:val="20"/>
                <w:szCs w:val="20"/>
              </w:rPr>
            </w:pPr>
            <w:r w:rsidRPr="000F7DB2">
              <w:rPr>
                <w:rFonts w:ascii="Roboto" w:hAnsi="Roboto" w:cs="Arial"/>
                <w:b/>
                <w:sz w:val="20"/>
                <w:szCs w:val="20"/>
              </w:rPr>
              <w:t>Social explanations</w:t>
            </w:r>
          </w:p>
        </w:tc>
      </w:tr>
      <w:tr w:rsidR="000F7DB2" w:rsidTr="000F7DB2">
        <w:tc>
          <w:tcPr>
            <w:tcW w:w="7807" w:type="dxa"/>
          </w:tcPr>
          <w:p w:rsidR="000F7DB2" w:rsidRDefault="000F7DB2">
            <w:pPr>
              <w:rPr>
                <w:rFonts w:ascii="Roboto" w:hAnsi="Roboto" w:cs="Arial"/>
                <w:sz w:val="20"/>
                <w:szCs w:val="20"/>
              </w:rPr>
            </w:pPr>
          </w:p>
          <w:p w:rsidR="000F7DB2" w:rsidRDefault="000F7DB2">
            <w:pPr>
              <w:rPr>
                <w:rFonts w:ascii="Roboto" w:hAnsi="Roboto" w:cs="Arial"/>
                <w:sz w:val="20"/>
                <w:szCs w:val="20"/>
              </w:rPr>
            </w:pPr>
          </w:p>
          <w:p w:rsidR="000F7DB2" w:rsidRDefault="000F7DB2">
            <w:pPr>
              <w:rPr>
                <w:rFonts w:ascii="Roboto" w:hAnsi="Roboto" w:cs="Arial"/>
                <w:sz w:val="20"/>
                <w:szCs w:val="20"/>
              </w:rPr>
            </w:pPr>
          </w:p>
          <w:p w:rsidR="000F7DB2" w:rsidRDefault="000F7DB2">
            <w:pPr>
              <w:rPr>
                <w:rFonts w:ascii="Roboto" w:hAnsi="Roboto" w:cs="Arial"/>
                <w:sz w:val="20"/>
                <w:szCs w:val="20"/>
              </w:rPr>
            </w:pPr>
          </w:p>
          <w:p w:rsidR="000F7DB2" w:rsidRDefault="000F7DB2">
            <w:pPr>
              <w:rPr>
                <w:rFonts w:ascii="Roboto" w:hAnsi="Roboto" w:cs="Arial"/>
                <w:sz w:val="20"/>
                <w:szCs w:val="20"/>
              </w:rPr>
            </w:pPr>
          </w:p>
          <w:p w:rsidR="000F7DB2" w:rsidRDefault="000F7DB2">
            <w:pPr>
              <w:rPr>
                <w:rFonts w:ascii="Roboto" w:hAnsi="Roboto" w:cs="Arial"/>
                <w:sz w:val="20"/>
                <w:szCs w:val="20"/>
              </w:rPr>
            </w:pPr>
          </w:p>
          <w:p w:rsidR="007F162A" w:rsidRDefault="007F162A">
            <w:pPr>
              <w:rPr>
                <w:rFonts w:ascii="Roboto" w:hAnsi="Roboto" w:cs="Arial"/>
                <w:sz w:val="20"/>
                <w:szCs w:val="20"/>
              </w:rPr>
            </w:pPr>
          </w:p>
          <w:p w:rsidR="007F162A" w:rsidRDefault="007F162A">
            <w:pPr>
              <w:rPr>
                <w:rFonts w:ascii="Roboto" w:hAnsi="Roboto" w:cs="Arial"/>
                <w:sz w:val="20"/>
                <w:szCs w:val="20"/>
              </w:rPr>
            </w:pPr>
          </w:p>
          <w:p w:rsidR="007F162A" w:rsidRDefault="007F162A">
            <w:pPr>
              <w:rPr>
                <w:rFonts w:ascii="Roboto" w:hAnsi="Roboto" w:cs="Arial"/>
                <w:sz w:val="20"/>
                <w:szCs w:val="20"/>
              </w:rPr>
            </w:pPr>
          </w:p>
          <w:p w:rsidR="000431EA" w:rsidRDefault="000431EA">
            <w:pPr>
              <w:rPr>
                <w:rFonts w:ascii="Roboto" w:hAnsi="Roboto" w:cs="Arial"/>
                <w:sz w:val="20"/>
                <w:szCs w:val="20"/>
              </w:rPr>
            </w:pPr>
          </w:p>
          <w:p w:rsidR="000431EA" w:rsidRDefault="000431EA">
            <w:pPr>
              <w:rPr>
                <w:rFonts w:ascii="Roboto" w:hAnsi="Roboto" w:cs="Arial"/>
                <w:sz w:val="20"/>
                <w:szCs w:val="20"/>
              </w:rPr>
            </w:pPr>
          </w:p>
          <w:p w:rsidR="000F7DB2" w:rsidRDefault="000F7DB2">
            <w:pPr>
              <w:rPr>
                <w:rFonts w:ascii="Roboto" w:hAnsi="Roboto" w:cs="Arial"/>
                <w:sz w:val="20"/>
                <w:szCs w:val="20"/>
              </w:rPr>
            </w:pPr>
          </w:p>
        </w:tc>
        <w:tc>
          <w:tcPr>
            <w:tcW w:w="7807" w:type="dxa"/>
          </w:tcPr>
          <w:p w:rsidR="000F7DB2" w:rsidRDefault="000F7DB2">
            <w:pPr>
              <w:rPr>
                <w:rFonts w:ascii="Roboto" w:hAnsi="Roboto" w:cs="Arial"/>
                <w:sz w:val="20"/>
                <w:szCs w:val="20"/>
              </w:rPr>
            </w:pPr>
          </w:p>
        </w:tc>
      </w:tr>
      <w:tr w:rsidR="000F7DB2" w:rsidTr="009E4D4E">
        <w:tc>
          <w:tcPr>
            <w:tcW w:w="15614" w:type="dxa"/>
            <w:gridSpan w:val="2"/>
          </w:tcPr>
          <w:p w:rsidR="000F7DB2" w:rsidRPr="000F7DB2" w:rsidRDefault="000F7DB2" w:rsidP="000F7DB2">
            <w:pPr>
              <w:jc w:val="center"/>
              <w:rPr>
                <w:rFonts w:ascii="Roboto" w:hAnsi="Roboto" w:cs="Arial"/>
                <w:b/>
                <w:sz w:val="24"/>
                <w:szCs w:val="24"/>
              </w:rPr>
            </w:pPr>
            <w:r w:rsidRPr="000F7DB2">
              <w:rPr>
                <w:rFonts w:ascii="Roboto" w:hAnsi="Roboto" w:cs="Arial"/>
                <w:b/>
                <w:sz w:val="24"/>
                <w:szCs w:val="24"/>
              </w:rPr>
              <w:t>Evaluation</w:t>
            </w:r>
          </w:p>
        </w:tc>
      </w:tr>
      <w:tr w:rsidR="000F7DB2" w:rsidTr="000F7DB2">
        <w:tc>
          <w:tcPr>
            <w:tcW w:w="7807" w:type="dxa"/>
          </w:tcPr>
          <w:p w:rsidR="00C616DA" w:rsidRPr="000431EA" w:rsidRDefault="00851632">
            <w:pPr>
              <w:rPr>
                <w:rFonts w:ascii="Roboto" w:hAnsi="Roboto" w:cs="Arial"/>
                <w:b/>
                <w:sz w:val="18"/>
                <w:szCs w:val="18"/>
              </w:rPr>
            </w:pPr>
            <w:r w:rsidRPr="000431EA">
              <w:rPr>
                <w:rFonts w:ascii="Roboto" w:hAnsi="Roboto" w:cs="Arial"/>
                <w:b/>
                <w:sz w:val="18"/>
                <w:szCs w:val="18"/>
              </w:rPr>
              <w:t>P-</w:t>
            </w:r>
            <w:r w:rsidR="00C616DA" w:rsidRPr="000431EA">
              <w:rPr>
                <w:rFonts w:ascii="Roboto" w:hAnsi="Roboto" w:cs="Arial"/>
                <w:b/>
                <w:sz w:val="18"/>
                <w:szCs w:val="18"/>
              </w:rPr>
              <w:t>Biologically reductionist</w:t>
            </w:r>
          </w:p>
          <w:p w:rsidR="00C616DA" w:rsidRPr="000431EA" w:rsidRDefault="00851632">
            <w:pPr>
              <w:rPr>
                <w:rFonts w:ascii="Gill Sans MT" w:hAnsi="Gill Sans MT"/>
                <w:sz w:val="18"/>
                <w:szCs w:val="18"/>
              </w:rPr>
            </w:pPr>
            <w:r w:rsidRPr="000431EA">
              <w:rPr>
                <w:rFonts w:ascii="Gill Sans MT" w:hAnsi="Gill Sans MT"/>
                <w:sz w:val="18"/>
                <w:szCs w:val="18"/>
              </w:rPr>
              <w:t>E-</w:t>
            </w:r>
            <w:r w:rsidR="00C616DA" w:rsidRPr="000431EA">
              <w:rPr>
                <w:rFonts w:ascii="Gill Sans MT" w:hAnsi="Gill Sans MT"/>
                <w:sz w:val="18"/>
                <w:szCs w:val="18"/>
              </w:rPr>
              <w:t>The explanation which is the lowest level of reductionism attempts to reduce GID to simple biological factors; specific brain structures and genetics.</w:t>
            </w:r>
          </w:p>
          <w:p w:rsidR="00851632" w:rsidRPr="000431EA" w:rsidRDefault="00851632">
            <w:pPr>
              <w:rPr>
                <w:rFonts w:ascii="Gill Sans MT" w:hAnsi="Gill Sans MT"/>
                <w:sz w:val="18"/>
                <w:szCs w:val="18"/>
              </w:rPr>
            </w:pPr>
            <w:r w:rsidRPr="000431EA">
              <w:rPr>
                <w:rFonts w:ascii="Gill Sans MT" w:hAnsi="Gill Sans MT"/>
                <w:sz w:val="18"/>
                <w:szCs w:val="18"/>
              </w:rPr>
              <w:t>S-</w:t>
            </w:r>
            <w:r w:rsidR="00C616DA" w:rsidRPr="000431EA">
              <w:rPr>
                <w:rFonts w:ascii="Gill Sans MT" w:hAnsi="Gill Sans MT"/>
                <w:sz w:val="18"/>
                <w:szCs w:val="18"/>
              </w:rPr>
              <w:t xml:space="preserve">This is an issue as is probably too simplistic a view to allow us to fully understand the origins of GID.  There is no account taken of how environmental, social or cultural factors may play a part.  </w:t>
            </w:r>
          </w:p>
          <w:p w:rsidR="000F7DB2" w:rsidRPr="000431EA" w:rsidRDefault="00851632">
            <w:pPr>
              <w:rPr>
                <w:rFonts w:ascii="Roboto" w:hAnsi="Roboto" w:cs="Arial"/>
                <w:sz w:val="18"/>
                <w:szCs w:val="18"/>
              </w:rPr>
            </w:pPr>
            <w:r w:rsidRPr="000431EA">
              <w:rPr>
                <w:rFonts w:ascii="Gill Sans MT" w:hAnsi="Gill Sans MT"/>
                <w:sz w:val="18"/>
                <w:szCs w:val="18"/>
              </w:rPr>
              <w:t>SS-</w:t>
            </w:r>
            <w:r w:rsidR="00C616DA" w:rsidRPr="000431EA">
              <w:rPr>
                <w:rFonts w:ascii="Gill Sans MT" w:hAnsi="Gill Sans MT"/>
                <w:sz w:val="18"/>
                <w:szCs w:val="18"/>
              </w:rPr>
              <w:t xml:space="preserve">The fact that incidence of GID has increased in recent years and that there are higher incidences in places like Thailand would suggest a social/cultural element.   Therefore, the interactionist approach is probably a more realistic approach to take in explaining the </w:t>
            </w:r>
            <w:r w:rsidRPr="000431EA">
              <w:rPr>
                <w:rFonts w:ascii="Gill Sans MT" w:hAnsi="Gill Sans MT"/>
                <w:sz w:val="18"/>
                <w:szCs w:val="18"/>
              </w:rPr>
              <w:t>diso</w:t>
            </w:r>
            <w:r w:rsidR="007F162A" w:rsidRPr="000431EA">
              <w:rPr>
                <w:rFonts w:ascii="Gill Sans MT" w:hAnsi="Gill Sans MT"/>
                <w:sz w:val="18"/>
                <w:szCs w:val="18"/>
              </w:rPr>
              <w:t>r</w:t>
            </w:r>
            <w:r w:rsidRPr="000431EA">
              <w:rPr>
                <w:rFonts w:ascii="Gill Sans MT" w:hAnsi="Gill Sans MT"/>
                <w:sz w:val="18"/>
                <w:szCs w:val="18"/>
              </w:rPr>
              <w:t>der</w:t>
            </w:r>
            <w:r w:rsidR="00C616DA" w:rsidRPr="000431EA">
              <w:rPr>
                <w:rFonts w:ascii="Gill Sans MT" w:hAnsi="Gill Sans MT"/>
                <w:sz w:val="18"/>
                <w:szCs w:val="18"/>
              </w:rPr>
              <w:t xml:space="preserve">. </w:t>
            </w:r>
          </w:p>
        </w:tc>
        <w:tc>
          <w:tcPr>
            <w:tcW w:w="7807" w:type="dxa"/>
          </w:tcPr>
          <w:p w:rsidR="00C00256" w:rsidRPr="000431EA" w:rsidRDefault="00C00256">
            <w:pPr>
              <w:rPr>
                <w:rFonts w:ascii="Gill Sans MT" w:hAnsi="Gill Sans MT"/>
                <w:b/>
                <w:sz w:val="18"/>
                <w:szCs w:val="18"/>
              </w:rPr>
            </w:pPr>
            <w:r w:rsidRPr="000431EA">
              <w:rPr>
                <w:rFonts w:ascii="Gill Sans MT" w:hAnsi="Gill Sans MT"/>
                <w:b/>
                <w:sz w:val="18"/>
                <w:szCs w:val="18"/>
              </w:rPr>
              <w:t>Support</w:t>
            </w:r>
          </w:p>
          <w:p w:rsidR="000F7DB2" w:rsidRPr="000431EA" w:rsidRDefault="00C00256">
            <w:pPr>
              <w:rPr>
                <w:rFonts w:ascii="Gill Sans MT" w:hAnsi="Gill Sans MT" w:cs="Arial"/>
                <w:sz w:val="18"/>
                <w:szCs w:val="18"/>
              </w:rPr>
            </w:pPr>
            <w:proofErr w:type="spellStart"/>
            <w:r w:rsidRPr="000431EA">
              <w:rPr>
                <w:rFonts w:ascii="Gill Sans MT" w:hAnsi="Gill Sans MT"/>
                <w:b/>
                <w:sz w:val="18"/>
                <w:szCs w:val="18"/>
              </w:rPr>
              <w:t>Zucker</w:t>
            </w:r>
            <w:proofErr w:type="spellEnd"/>
            <w:r w:rsidRPr="000431EA">
              <w:rPr>
                <w:rFonts w:ascii="Gill Sans MT" w:hAnsi="Gill Sans MT"/>
                <w:b/>
                <w:sz w:val="18"/>
                <w:szCs w:val="18"/>
              </w:rPr>
              <w:t xml:space="preserve"> et al (2008)</w:t>
            </w:r>
            <w:r w:rsidRPr="000431EA">
              <w:rPr>
                <w:rFonts w:ascii="Gill Sans MT" w:hAnsi="Gill Sans MT"/>
                <w:sz w:val="18"/>
                <w:szCs w:val="18"/>
              </w:rPr>
              <w:t xml:space="preserve"> performed a longitudinal study on gender-dysphoric females between two and three years of age who had been referred to a clinic.  Only 12% were still gender dysphoric at age 18.  An equivalent study on males found that only 20% were still gender dysphoric as adults.  This supports a social environmental basis to GID, as if genetic or neuroanatomical factors were the cause, we would not expect the effects to be transient, it also questions </w:t>
            </w:r>
            <w:proofErr w:type="gramStart"/>
            <w:r w:rsidRPr="000431EA">
              <w:rPr>
                <w:rFonts w:ascii="Gill Sans MT" w:hAnsi="Gill Sans MT"/>
                <w:sz w:val="18"/>
                <w:szCs w:val="18"/>
              </w:rPr>
              <w:t>the at</w:t>
            </w:r>
            <w:proofErr w:type="gramEnd"/>
            <w:r w:rsidRPr="000431EA">
              <w:rPr>
                <w:rFonts w:ascii="Gill Sans MT" w:hAnsi="Gill Sans MT"/>
                <w:sz w:val="18"/>
                <w:szCs w:val="18"/>
              </w:rPr>
              <w:t xml:space="preserve"> what ages individuals should be allowed to start gender reassignment therapy with such large % of individuals changing their minds.</w:t>
            </w:r>
          </w:p>
        </w:tc>
      </w:tr>
      <w:tr w:rsidR="000F7DB2" w:rsidTr="000F7DB2">
        <w:tc>
          <w:tcPr>
            <w:tcW w:w="7807" w:type="dxa"/>
          </w:tcPr>
          <w:p w:rsidR="00851632" w:rsidRPr="000431EA" w:rsidRDefault="00851632" w:rsidP="00851632">
            <w:pPr>
              <w:rPr>
                <w:rFonts w:ascii="Roboto" w:hAnsi="Roboto" w:cs="Arial"/>
                <w:b/>
                <w:sz w:val="18"/>
                <w:szCs w:val="18"/>
              </w:rPr>
            </w:pPr>
            <w:r w:rsidRPr="000431EA">
              <w:rPr>
                <w:rFonts w:ascii="Roboto" w:hAnsi="Roboto" w:cs="Arial"/>
                <w:b/>
                <w:sz w:val="18"/>
                <w:szCs w:val="18"/>
              </w:rPr>
              <w:t>Socially sensitive.</w:t>
            </w:r>
          </w:p>
          <w:p w:rsidR="00851632" w:rsidRPr="000431EA" w:rsidRDefault="00851632" w:rsidP="00851632">
            <w:pPr>
              <w:rPr>
                <w:rFonts w:ascii="Roboto" w:hAnsi="Roboto" w:cs="Arial"/>
                <w:b/>
                <w:sz w:val="18"/>
                <w:szCs w:val="18"/>
              </w:rPr>
            </w:pPr>
            <w:r w:rsidRPr="000431EA">
              <w:rPr>
                <w:rFonts w:ascii="Roboto" w:hAnsi="Roboto" w:cs="Arial"/>
                <w:b/>
                <w:sz w:val="18"/>
                <w:szCs w:val="18"/>
              </w:rPr>
              <w:t>-</w:t>
            </w:r>
            <w:r w:rsidRPr="000431EA">
              <w:rPr>
                <w:rFonts w:ascii="Roboto" w:hAnsi="Roboto" w:cs="Arial"/>
                <w:sz w:val="18"/>
                <w:szCs w:val="18"/>
              </w:rPr>
              <w:t xml:space="preserve"> If a biological cause is found this may be beneficial for individuals with GID because</w:t>
            </w:r>
            <w:r w:rsidRPr="000431EA">
              <w:rPr>
                <w:rFonts w:ascii="Roboto" w:hAnsi="Roboto" w:cs="Arial"/>
                <w:b/>
                <w:sz w:val="18"/>
                <w:szCs w:val="18"/>
              </w:rPr>
              <w:t xml:space="preserve"> </w:t>
            </w:r>
            <w:r w:rsidRPr="000431EA">
              <w:rPr>
                <w:rFonts w:ascii="Roboto" w:hAnsi="Roboto" w:cs="Arial"/>
                <w:sz w:val="18"/>
                <w:szCs w:val="18"/>
              </w:rPr>
              <w:t>we can say GID is the result of genetics or biology it may mean people are more accepting as it is ‘not the fault’, individual and family would not feel blame = potential for treatment.</w:t>
            </w:r>
          </w:p>
          <w:p w:rsidR="00851632" w:rsidRPr="000431EA" w:rsidRDefault="00851632" w:rsidP="00851632">
            <w:pPr>
              <w:rPr>
                <w:rFonts w:ascii="Roboto" w:hAnsi="Roboto" w:cs="Arial"/>
                <w:sz w:val="18"/>
                <w:szCs w:val="18"/>
              </w:rPr>
            </w:pPr>
            <w:r w:rsidRPr="000431EA">
              <w:rPr>
                <w:rFonts w:ascii="Roboto" w:hAnsi="Roboto" w:cs="Arial"/>
                <w:sz w:val="18"/>
                <w:szCs w:val="18"/>
              </w:rPr>
              <w:t xml:space="preserve">-a biological cause is found and someone is wrongly </w:t>
            </w:r>
            <w:proofErr w:type="gramStart"/>
            <w:r w:rsidRPr="000431EA">
              <w:rPr>
                <w:rFonts w:ascii="Roboto" w:hAnsi="Roboto" w:cs="Arial"/>
                <w:sz w:val="18"/>
                <w:szCs w:val="18"/>
              </w:rPr>
              <w:t>diagnosed  based</w:t>
            </w:r>
            <w:proofErr w:type="gramEnd"/>
            <w:r w:rsidRPr="000431EA">
              <w:rPr>
                <w:rFonts w:ascii="Roboto" w:hAnsi="Roboto" w:cs="Arial"/>
                <w:sz w:val="18"/>
                <w:szCs w:val="18"/>
              </w:rPr>
              <w:t xml:space="preserve"> on biological diagnosis, we may wrongly assume that the individual </w:t>
            </w:r>
            <w:r w:rsidRPr="000431EA">
              <w:rPr>
                <w:rFonts w:ascii="Roboto" w:hAnsi="Roboto" w:cs="Arial"/>
                <w:b/>
                <w:bCs/>
                <w:sz w:val="18"/>
                <w:szCs w:val="18"/>
                <w:u w:val="single"/>
              </w:rPr>
              <w:t xml:space="preserve">will </w:t>
            </w:r>
            <w:r w:rsidRPr="000431EA">
              <w:rPr>
                <w:rFonts w:ascii="Roboto" w:hAnsi="Roboto" w:cs="Arial"/>
                <w:sz w:val="18"/>
                <w:szCs w:val="18"/>
              </w:rPr>
              <w:t xml:space="preserve">suffer from gender dysphoria in later life causing distress or even precautionary action e.g. hormone blockers before puberty. </w:t>
            </w:r>
          </w:p>
          <w:p w:rsidR="00851632" w:rsidRPr="000431EA" w:rsidRDefault="00851632" w:rsidP="00851632">
            <w:pPr>
              <w:rPr>
                <w:rFonts w:ascii="Roboto" w:hAnsi="Roboto" w:cs="Arial"/>
                <w:sz w:val="18"/>
                <w:szCs w:val="18"/>
              </w:rPr>
            </w:pPr>
            <w:r w:rsidRPr="000431EA">
              <w:rPr>
                <w:rFonts w:ascii="Roboto" w:hAnsi="Roboto" w:cs="Arial"/>
                <w:sz w:val="18"/>
                <w:szCs w:val="18"/>
              </w:rPr>
              <w:t xml:space="preserve"> Either way the </w:t>
            </w:r>
            <w:proofErr w:type="gramStart"/>
            <w:r w:rsidRPr="000431EA">
              <w:rPr>
                <w:rFonts w:ascii="Roboto" w:hAnsi="Roboto" w:cs="Arial"/>
                <w:sz w:val="18"/>
                <w:szCs w:val="18"/>
              </w:rPr>
              <w:t>outcomes of research has</w:t>
            </w:r>
            <w:proofErr w:type="gramEnd"/>
            <w:r w:rsidRPr="000431EA">
              <w:rPr>
                <w:rFonts w:ascii="Roboto" w:hAnsi="Roboto" w:cs="Arial"/>
                <w:sz w:val="18"/>
                <w:szCs w:val="18"/>
              </w:rPr>
              <w:t xml:space="preserve"> social consequences for individuals represented by the research. </w:t>
            </w:r>
          </w:p>
          <w:p w:rsidR="00C616DA" w:rsidRPr="000431EA" w:rsidRDefault="00C616DA">
            <w:pPr>
              <w:rPr>
                <w:rFonts w:ascii="Roboto" w:hAnsi="Roboto" w:cs="Arial"/>
                <w:b/>
                <w:sz w:val="18"/>
                <w:szCs w:val="18"/>
              </w:rPr>
            </w:pPr>
          </w:p>
        </w:tc>
        <w:tc>
          <w:tcPr>
            <w:tcW w:w="7807" w:type="dxa"/>
          </w:tcPr>
          <w:p w:rsidR="000F7DB2" w:rsidRPr="000431EA" w:rsidRDefault="00C00256">
            <w:pPr>
              <w:rPr>
                <w:rFonts w:ascii="Gill Sans MT" w:hAnsi="Gill Sans MT" w:cs="Arial"/>
                <w:sz w:val="18"/>
                <w:szCs w:val="18"/>
              </w:rPr>
            </w:pPr>
            <w:r w:rsidRPr="000431EA">
              <w:rPr>
                <w:rFonts w:ascii="Gill Sans MT" w:hAnsi="Gill Sans MT"/>
                <w:sz w:val="18"/>
                <w:szCs w:val="18"/>
              </w:rPr>
              <w:t xml:space="preserve">Increasingly, evidence suggests that the </w:t>
            </w:r>
            <w:proofErr w:type="gramStart"/>
            <w:r w:rsidRPr="000431EA">
              <w:rPr>
                <w:rFonts w:ascii="Gill Sans MT" w:hAnsi="Gill Sans MT"/>
                <w:sz w:val="18"/>
                <w:szCs w:val="18"/>
              </w:rPr>
              <w:t>influences of hormones and genetics is</w:t>
            </w:r>
            <w:proofErr w:type="gramEnd"/>
            <w:r w:rsidRPr="000431EA">
              <w:rPr>
                <w:rFonts w:ascii="Gill Sans MT" w:hAnsi="Gill Sans MT"/>
                <w:sz w:val="18"/>
                <w:szCs w:val="18"/>
              </w:rPr>
              <w:t xml:space="preserve"> the main cause of GID, but there is little evidence to suggest a totally biological explanation. Therefore, social psychological explanations of GID may be useful in understanding the factors that contribute towards the development of GID, but are unlikely to be sufficient as a </w:t>
            </w:r>
            <w:proofErr w:type="spellStart"/>
            <w:r w:rsidRPr="000431EA">
              <w:rPr>
                <w:rFonts w:ascii="Gill Sans MT" w:hAnsi="Gill Sans MT"/>
                <w:sz w:val="18"/>
                <w:szCs w:val="18"/>
              </w:rPr>
              <w:t>stand alone</w:t>
            </w:r>
            <w:proofErr w:type="spellEnd"/>
            <w:r w:rsidRPr="000431EA">
              <w:rPr>
                <w:rFonts w:ascii="Gill Sans MT" w:hAnsi="Gill Sans MT"/>
                <w:sz w:val="18"/>
                <w:szCs w:val="18"/>
              </w:rPr>
              <w:t xml:space="preserve"> explanation</w:t>
            </w:r>
          </w:p>
        </w:tc>
      </w:tr>
      <w:tr w:rsidR="000F7DB2" w:rsidTr="000F7DB2">
        <w:tc>
          <w:tcPr>
            <w:tcW w:w="7807" w:type="dxa"/>
          </w:tcPr>
          <w:p w:rsidR="00C00256" w:rsidRPr="000431EA" w:rsidRDefault="00C00256">
            <w:pPr>
              <w:rPr>
                <w:rFonts w:ascii="Gill Sans MT" w:hAnsi="Gill Sans MT"/>
                <w:b/>
                <w:sz w:val="18"/>
                <w:szCs w:val="18"/>
              </w:rPr>
            </w:pPr>
            <w:r w:rsidRPr="000431EA">
              <w:rPr>
                <w:rFonts w:ascii="Gill Sans MT" w:hAnsi="Gill Sans MT"/>
                <w:b/>
                <w:sz w:val="18"/>
                <w:szCs w:val="18"/>
              </w:rPr>
              <w:t>Challenge.</w:t>
            </w:r>
          </w:p>
          <w:p w:rsidR="000F7DB2" w:rsidRPr="000431EA" w:rsidRDefault="00C00256">
            <w:pPr>
              <w:rPr>
                <w:rFonts w:ascii="Roboto" w:hAnsi="Roboto" w:cs="Arial"/>
                <w:sz w:val="18"/>
                <w:szCs w:val="18"/>
              </w:rPr>
            </w:pPr>
            <w:proofErr w:type="spellStart"/>
            <w:r w:rsidRPr="000431EA">
              <w:rPr>
                <w:rFonts w:ascii="Gill Sans MT" w:hAnsi="Gill Sans MT"/>
                <w:b/>
                <w:sz w:val="18"/>
                <w:szCs w:val="18"/>
              </w:rPr>
              <w:t>Zucker</w:t>
            </w:r>
            <w:proofErr w:type="spellEnd"/>
            <w:r w:rsidRPr="000431EA">
              <w:rPr>
                <w:rFonts w:ascii="Gill Sans MT" w:hAnsi="Gill Sans MT"/>
                <w:b/>
                <w:sz w:val="18"/>
                <w:szCs w:val="18"/>
              </w:rPr>
              <w:t xml:space="preserve"> et al (2008)</w:t>
            </w:r>
            <w:r w:rsidRPr="000431EA">
              <w:rPr>
                <w:rFonts w:ascii="Gill Sans MT" w:hAnsi="Gill Sans MT"/>
                <w:sz w:val="18"/>
                <w:szCs w:val="18"/>
              </w:rPr>
              <w:t xml:space="preserve"> performed a longitudinal study on gender-dysphoric females between two and three years of age who had been referred to a clinic.  Only 12% were still gender dysphoric at age 18.  An equivalent study on males found that only 20% were still gender dysphoric as adults.  This supports a social environmental basis to GID, as if genetic or neuroanatomical factors were the cause, we would not expect the effects to be transient, it also questions </w:t>
            </w:r>
            <w:proofErr w:type="gramStart"/>
            <w:r w:rsidRPr="000431EA">
              <w:rPr>
                <w:rFonts w:ascii="Gill Sans MT" w:hAnsi="Gill Sans MT"/>
                <w:sz w:val="18"/>
                <w:szCs w:val="18"/>
              </w:rPr>
              <w:t>the at</w:t>
            </w:r>
            <w:proofErr w:type="gramEnd"/>
            <w:r w:rsidRPr="000431EA">
              <w:rPr>
                <w:rFonts w:ascii="Gill Sans MT" w:hAnsi="Gill Sans MT"/>
                <w:sz w:val="18"/>
                <w:szCs w:val="18"/>
              </w:rPr>
              <w:t xml:space="preserve"> what ages individuals should be allowed to start gender reassignment therapy with such large % of individuals changing their minds.</w:t>
            </w:r>
          </w:p>
        </w:tc>
        <w:tc>
          <w:tcPr>
            <w:tcW w:w="7807" w:type="dxa"/>
          </w:tcPr>
          <w:p w:rsidR="00C00256" w:rsidRPr="000431EA" w:rsidRDefault="00C00256">
            <w:pPr>
              <w:rPr>
                <w:rFonts w:ascii="Gill Sans MT" w:hAnsi="Gill Sans MT"/>
                <w:b/>
                <w:sz w:val="18"/>
                <w:szCs w:val="18"/>
              </w:rPr>
            </w:pPr>
            <w:r w:rsidRPr="000431EA">
              <w:rPr>
                <w:rFonts w:ascii="Gill Sans MT" w:hAnsi="Gill Sans MT"/>
                <w:b/>
                <w:sz w:val="18"/>
                <w:szCs w:val="18"/>
              </w:rPr>
              <w:t>Validity</w:t>
            </w:r>
          </w:p>
          <w:p w:rsidR="00C00256" w:rsidRPr="000431EA" w:rsidRDefault="00C00256">
            <w:pPr>
              <w:rPr>
                <w:rFonts w:ascii="Gill Sans MT" w:hAnsi="Gill Sans MT"/>
                <w:sz w:val="18"/>
                <w:szCs w:val="18"/>
              </w:rPr>
            </w:pPr>
            <w:r w:rsidRPr="000431EA">
              <w:rPr>
                <w:rFonts w:ascii="Gill Sans MT" w:hAnsi="Gill Sans MT"/>
                <w:sz w:val="18"/>
                <w:szCs w:val="18"/>
              </w:rPr>
              <w:t xml:space="preserve">The psychoanalytic explanation does not offer an adequate explanation of GID in females. </w:t>
            </w:r>
          </w:p>
          <w:p w:rsidR="00C00256" w:rsidRPr="000431EA" w:rsidRDefault="00C00256">
            <w:pPr>
              <w:rPr>
                <w:rFonts w:ascii="Gill Sans MT" w:hAnsi="Gill Sans MT"/>
                <w:sz w:val="18"/>
                <w:szCs w:val="18"/>
              </w:rPr>
            </w:pPr>
            <w:r w:rsidRPr="000431EA">
              <w:rPr>
                <w:rFonts w:ascii="Gill Sans MT" w:hAnsi="Gill Sans MT"/>
                <w:sz w:val="18"/>
                <w:szCs w:val="18"/>
              </w:rPr>
              <w:t xml:space="preserve"> In addition, </w:t>
            </w:r>
            <w:proofErr w:type="spellStart"/>
            <w:r w:rsidRPr="000431EA">
              <w:rPr>
                <w:rFonts w:ascii="Gill Sans MT" w:hAnsi="Gill Sans MT"/>
                <w:sz w:val="18"/>
                <w:szCs w:val="18"/>
              </w:rPr>
              <w:t>Rekers</w:t>
            </w:r>
            <w:proofErr w:type="spellEnd"/>
            <w:r w:rsidRPr="000431EA">
              <w:rPr>
                <w:rFonts w:ascii="Gill Sans MT" w:hAnsi="Gill Sans MT"/>
                <w:sz w:val="18"/>
                <w:szCs w:val="18"/>
              </w:rPr>
              <w:t xml:space="preserve"> research suggests that gender disturbance in boys is more likely to be associated with the absence of the father, rather than fear of separation from the mother.  Furthermore, the assumption that GID is caused by separation anxiety is very hard to test.  The fantasies that trigger the condition are thought to exist at an unconscious level and are therefore inaccessible to the conscious mind.  </w:t>
            </w:r>
          </w:p>
          <w:p w:rsidR="00C00256" w:rsidRPr="000431EA" w:rsidRDefault="00C00256">
            <w:pPr>
              <w:rPr>
                <w:rFonts w:ascii="Gill Sans MT" w:hAnsi="Gill Sans MT"/>
                <w:sz w:val="18"/>
                <w:szCs w:val="18"/>
              </w:rPr>
            </w:pPr>
            <w:r w:rsidRPr="000431EA">
              <w:rPr>
                <w:rFonts w:ascii="Gill Sans MT" w:hAnsi="Gill Sans MT"/>
                <w:sz w:val="18"/>
                <w:szCs w:val="18"/>
              </w:rPr>
              <w:t>NOW LINK BACK TO EXPLANATION</w:t>
            </w:r>
          </w:p>
          <w:p w:rsidR="000F7DB2" w:rsidRPr="000431EA" w:rsidRDefault="00C00256">
            <w:pPr>
              <w:rPr>
                <w:rFonts w:ascii="Roboto" w:hAnsi="Roboto" w:cs="Arial"/>
                <w:sz w:val="18"/>
                <w:szCs w:val="18"/>
              </w:rPr>
            </w:pPr>
            <w:r w:rsidRPr="000431EA">
              <w:rPr>
                <w:rFonts w:ascii="Gill Sans MT" w:hAnsi="Gill Sans MT"/>
                <w:sz w:val="18"/>
                <w:szCs w:val="18"/>
              </w:rPr>
              <w:t>All of this means that the evidence is limited and the theory is little more than speculation and so a huge limitation of the explanation</w:t>
            </w:r>
          </w:p>
        </w:tc>
      </w:tr>
    </w:tbl>
    <w:p w:rsidR="00163119" w:rsidRPr="00B055A9" w:rsidRDefault="00163119">
      <w:pPr>
        <w:rPr>
          <w:rFonts w:ascii="Roboto" w:hAnsi="Roboto" w:cs="Arial"/>
          <w:sz w:val="20"/>
          <w:szCs w:val="20"/>
        </w:rPr>
      </w:pPr>
    </w:p>
    <w:sectPr w:rsidR="00163119" w:rsidRPr="00B055A9" w:rsidSect="000F7D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B2"/>
    <w:rsid w:val="000431EA"/>
    <w:rsid w:val="000A2F52"/>
    <w:rsid w:val="000F7DB2"/>
    <w:rsid w:val="00163119"/>
    <w:rsid w:val="001B1013"/>
    <w:rsid w:val="007F162A"/>
    <w:rsid w:val="00851632"/>
    <w:rsid w:val="00B055A9"/>
    <w:rsid w:val="00C00256"/>
    <w:rsid w:val="00C616DA"/>
    <w:rsid w:val="00E3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16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16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6771">
      <w:bodyDiv w:val="1"/>
      <w:marLeft w:val="0"/>
      <w:marRight w:val="0"/>
      <w:marTop w:val="0"/>
      <w:marBottom w:val="0"/>
      <w:divBdr>
        <w:top w:val="none" w:sz="0" w:space="0" w:color="auto"/>
        <w:left w:val="none" w:sz="0" w:space="0" w:color="auto"/>
        <w:bottom w:val="none" w:sz="0" w:space="0" w:color="auto"/>
        <w:right w:val="none" w:sz="0" w:space="0" w:color="auto"/>
      </w:divBdr>
    </w:div>
    <w:div w:id="1052267922">
      <w:bodyDiv w:val="1"/>
      <w:marLeft w:val="0"/>
      <w:marRight w:val="0"/>
      <w:marTop w:val="0"/>
      <w:marBottom w:val="0"/>
      <w:divBdr>
        <w:top w:val="none" w:sz="0" w:space="0" w:color="auto"/>
        <w:left w:val="none" w:sz="0" w:space="0" w:color="auto"/>
        <w:bottom w:val="none" w:sz="0" w:space="0" w:color="auto"/>
        <w:right w:val="none" w:sz="0" w:space="0" w:color="auto"/>
      </w:divBdr>
    </w:div>
    <w:div w:id="18609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0D73-8DE3-453E-967D-D235ED95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2DC0EDA2.dotm</Template>
  <TotalTime>0</TotalTime>
  <Pages>1</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USER</cp:lastModifiedBy>
  <cp:revision>2</cp:revision>
  <cp:lastPrinted>2018-03-12T15:18:00Z</cp:lastPrinted>
  <dcterms:created xsi:type="dcterms:W3CDTF">2018-03-19T15:59:00Z</dcterms:created>
  <dcterms:modified xsi:type="dcterms:W3CDTF">2018-03-19T15:59:00Z</dcterms:modified>
</cp:coreProperties>
</file>