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D" w:rsidRPr="00D9760A" w:rsidRDefault="001944BD" w:rsidP="00D9760A">
      <w:pPr>
        <w:pStyle w:val="NoSpacing"/>
        <w:jc w:val="center"/>
        <w:rPr>
          <w:rFonts w:ascii="Century Gothic" w:hAnsi="Century Gothic"/>
          <w:sz w:val="28"/>
          <w:szCs w:val="28"/>
          <w:u w:val="single"/>
        </w:rPr>
      </w:pPr>
      <w:r w:rsidRPr="00D9760A">
        <w:rPr>
          <w:rFonts w:ascii="Century Gothic" w:hAnsi="Century Gothic"/>
          <w:b/>
          <w:sz w:val="28"/>
          <w:szCs w:val="28"/>
          <w:u w:val="single"/>
        </w:rPr>
        <w:t xml:space="preserve">Flipped Homework on </w:t>
      </w:r>
      <w:r w:rsidR="00441389" w:rsidRPr="00D9760A">
        <w:rPr>
          <w:rFonts w:ascii="Century Gothic" w:hAnsi="Century Gothic"/>
          <w:b/>
          <w:sz w:val="28"/>
          <w:szCs w:val="28"/>
          <w:u w:val="single"/>
        </w:rPr>
        <w:t>Cognitive and Psychodynamic Explanations of Gender</w:t>
      </w:r>
    </w:p>
    <w:p w:rsidR="001944BD" w:rsidRPr="00D9760A" w:rsidRDefault="00D9760A" w:rsidP="00441389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D9760A">
        <w:rPr>
          <w:rFonts w:ascii="Century Gothic" w:hAnsi="Century Gothic"/>
          <w:b/>
          <w:sz w:val="24"/>
          <w:szCs w:val="24"/>
          <w:u w:val="single"/>
        </w:rPr>
        <w:t>Cognitive Explanation 1- Kohlberg</w:t>
      </w:r>
    </w:p>
    <w:p w:rsidR="001944BD" w:rsidRPr="00441389" w:rsidRDefault="001944BD" w:rsidP="00441389">
      <w:pPr>
        <w:pStyle w:val="NoSpacing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b/>
          <w:sz w:val="24"/>
          <w:szCs w:val="24"/>
        </w:rPr>
        <w:t xml:space="preserve">Task 1:  </w:t>
      </w:r>
      <w:r w:rsidRPr="00441389">
        <w:rPr>
          <w:rFonts w:ascii="Century Gothic" w:hAnsi="Century Gothic"/>
          <w:sz w:val="24"/>
          <w:szCs w:val="24"/>
        </w:rPr>
        <w:t>Read Kohlberg’s theory of gender development on p.11 of</w:t>
      </w:r>
      <w:r w:rsidR="005A56C0" w:rsidRPr="00441389">
        <w:rPr>
          <w:rFonts w:ascii="Century Gothic" w:hAnsi="Century Gothic"/>
          <w:sz w:val="24"/>
          <w:szCs w:val="24"/>
        </w:rPr>
        <w:t xml:space="preserve"> the information pack and then complete the following</w:t>
      </w:r>
      <w:r w:rsidRPr="00441389">
        <w:rPr>
          <w:rFonts w:ascii="Century Gothic" w:hAnsi="Century Gothic"/>
          <w:sz w:val="24"/>
          <w:szCs w:val="24"/>
        </w:rPr>
        <w:t>:</w:t>
      </w:r>
    </w:p>
    <w:p w:rsidR="005A56C0" w:rsidRPr="00441389" w:rsidRDefault="005A56C0" w:rsidP="00441389">
      <w:pPr>
        <w:pStyle w:val="NoSpacing"/>
        <w:rPr>
          <w:rFonts w:ascii="Century Gothic" w:hAnsi="Century Gothic"/>
          <w:sz w:val="24"/>
          <w:szCs w:val="24"/>
        </w:rPr>
      </w:pPr>
    </w:p>
    <w:p w:rsidR="005A56C0" w:rsidRPr="00441389" w:rsidRDefault="009619BC" w:rsidP="00441389">
      <w:pPr>
        <w:pStyle w:val="NoSpacing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Which</w:t>
      </w:r>
      <w:r w:rsidR="005A56C0" w:rsidRPr="00441389">
        <w:rPr>
          <w:rFonts w:ascii="Century Gothic" w:hAnsi="Century Gothic"/>
          <w:sz w:val="24"/>
          <w:szCs w:val="24"/>
        </w:rPr>
        <w:t xml:space="preserve"> stage of gender development </w:t>
      </w:r>
      <w:proofErr w:type="gramStart"/>
      <w:r w:rsidR="005A56C0" w:rsidRPr="00441389">
        <w:rPr>
          <w:rFonts w:ascii="Century Gothic" w:hAnsi="Century Gothic"/>
          <w:sz w:val="24"/>
          <w:szCs w:val="24"/>
        </w:rPr>
        <w:t>are</w:t>
      </w:r>
      <w:proofErr w:type="gramEnd"/>
      <w:r w:rsidR="005A56C0" w:rsidRPr="00441389">
        <w:rPr>
          <w:rFonts w:ascii="Century Gothic" w:hAnsi="Century Gothic"/>
          <w:sz w:val="24"/>
          <w:szCs w:val="24"/>
        </w:rPr>
        <w:t xml:space="preserve"> each of these children in?</w:t>
      </w:r>
    </w:p>
    <w:p w:rsidR="005A56C0" w:rsidRPr="00441389" w:rsidRDefault="005A56C0" w:rsidP="00441389">
      <w:pPr>
        <w:pStyle w:val="NoSpacing"/>
        <w:rPr>
          <w:rFonts w:ascii="Century Gothic" w:hAnsi="Century Gothic"/>
          <w:sz w:val="24"/>
          <w:szCs w:val="24"/>
        </w:rPr>
      </w:pPr>
    </w:p>
    <w:p w:rsidR="005A56C0" w:rsidRPr="00441389" w:rsidRDefault="005A56C0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Carly’s mum likes baking cakes.  Her dad likes fixing cars.  Carly isn’t interested in fixing cars.  She likes to bake cakes with her mum</w:t>
      </w:r>
    </w:p>
    <w:p w:rsidR="005A56C0" w:rsidRPr="00441389" w:rsidRDefault="005A56C0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5A56C0" w:rsidRPr="00441389" w:rsidRDefault="009619BC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5A56C0" w:rsidRPr="00441389" w:rsidRDefault="005A56C0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5A56C0" w:rsidRPr="00441389" w:rsidRDefault="005A56C0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5A56C0" w:rsidRPr="00441389" w:rsidRDefault="005A56C0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Harry is out shopping with his mum when someone with long hair passes by.  He says to his mum, “Mummy, why has that lady got a beard?”</w:t>
      </w:r>
    </w:p>
    <w:p w:rsidR="005A56C0" w:rsidRPr="00441389" w:rsidRDefault="005A56C0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5A56C0" w:rsidRPr="00441389" w:rsidRDefault="009619BC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5A56C0" w:rsidRPr="00441389" w:rsidRDefault="005A56C0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5A56C0" w:rsidRPr="00441389" w:rsidRDefault="005A56C0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5A56C0" w:rsidRPr="00441389" w:rsidRDefault="00493534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Mohammed’s dad asked him what he wants to be when he grows up.  Mohammed said “I want to be a mummy”</w:t>
      </w:r>
    </w:p>
    <w:p w:rsidR="001A335A" w:rsidRPr="00441389" w:rsidRDefault="001A335A" w:rsidP="00441389">
      <w:pPr>
        <w:pStyle w:val="NoSpacing"/>
        <w:rPr>
          <w:rFonts w:ascii="Century Gothic" w:hAnsi="Century Gothic"/>
          <w:sz w:val="24"/>
          <w:szCs w:val="24"/>
        </w:rPr>
      </w:pPr>
    </w:p>
    <w:p w:rsidR="001A335A" w:rsidRPr="00441389" w:rsidRDefault="009619BC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1389">
        <w:rPr>
          <w:rFonts w:ascii="Century Gothic" w:hAnsi="Century Gothic"/>
          <w:sz w:val="24"/>
          <w:szCs w:val="24"/>
        </w:rPr>
        <w:t>Tanika’s</w:t>
      </w:r>
      <w:proofErr w:type="spellEnd"/>
      <w:r w:rsidRPr="00441389">
        <w:rPr>
          <w:rFonts w:ascii="Century Gothic" w:hAnsi="Century Gothic"/>
          <w:sz w:val="24"/>
          <w:szCs w:val="24"/>
        </w:rPr>
        <w:t xml:space="preserve"> uncle Lloyd likes to dress in women’s clothing when he goes out in the evenings.  </w:t>
      </w:r>
      <w:proofErr w:type="spellStart"/>
      <w:r w:rsidRPr="00441389">
        <w:rPr>
          <w:rFonts w:ascii="Century Gothic" w:hAnsi="Century Gothic"/>
          <w:sz w:val="24"/>
          <w:szCs w:val="24"/>
        </w:rPr>
        <w:t>Tanika</w:t>
      </w:r>
      <w:proofErr w:type="spellEnd"/>
      <w:r w:rsidRPr="00441389">
        <w:rPr>
          <w:rFonts w:ascii="Century Gothic" w:hAnsi="Century Gothic"/>
          <w:sz w:val="24"/>
          <w:szCs w:val="24"/>
        </w:rPr>
        <w:t xml:space="preserve"> tells her friends that Uncle Lloyd is a man when he goes to work, but when he goes out in the evening he is a lady.</w:t>
      </w:r>
    </w:p>
    <w:p w:rsidR="00927EBD" w:rsidRPr="00441389" w:rsidRDefault="00927EBD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927EBD" w:rsidRPr="00441389" w:rsidRDefault="009619BC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Wendy’s brother decided to paint his nails red.  Wendy asks him why he is now a girl.</w:t>
      </w:r>
    </w:p>
    <w:p w:rsidR="00927EBD" w:rsidRPr="00441389" w:rsidRDefault="00927EBD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927EBD" w:rsidRPr="00441389" w:rsidRDefault="009E7A6A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Charlie asks his dad if he was a girl or a boy when he was younger.</w:t>
      </w:r>
    </w:p>
    <w:p w:rsidR="00927EBD" w:rsidRPr="00441389" w:rsidRDefault="00927EBD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927EBD" w:rsidRPr="00441389" w:rsidRDefault="009E7A6A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927EBD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927EBD" w:rsidRPr="00441389" w:rsidRDefault="002A2C9C" w:rsidP="0044138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 xml:space="preserve"> Christina doesn’t like the lady who lives across the road because she dresses in men’s clothing.  Christina thinks it’s she is a bit odd because she doesn’t look like a woman</w:t>
      </w:r>
    </w:p>
    <w:p w:rsidR="002A2C9C" w:rsidRPr="00441389" w:rsidRDefault="002A2C9C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2A2C9C" w:rsidRPr="00441389" w:rsidRDefault="009E7A6A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41389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C8305C" w:rsidRPr="00441389" w:rsidRDefault="00C8305C" w:rsidP="00441389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441389" w:rsidRDefault="00441389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41389" w:rsidRDefault="000922E4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EBC662B" wp14:editId="5CA8503E">
            <wp:simplePos x="0" y="0"/>
            <wp:positionH relativeFrom="column">
              <wp:posOffset>3996690</wp:posOffset>
            </wp:positionH>
            <wp:positionV relativeFrom="paragraph">
              <wp:posOffset>144780</wp:posOffset>
            </wp:positionV>
            <wp:extent cx="2530475" cy="1263015"/>
            <wp:effectExtent l="0" t="0" r="3175" b="0"/>
            <wp:wrapTight wrapText="bothSides">
              <wp:wrapPolygon edited="0">
                <wp:start x="0" y="0"/>
                <wp:lineTo x="0" y="21176"/>
                <wp:lineTo x="21464" y="21176"/>
                <wp:lineTo x="21464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E4" w:rsidRDefault="00441389" w:rsidP="00441389">
      <w:pPr>
        <w:pStyle w:val="NoSpacing"/>
        <w:rPr>
          <w:rStyle w:val="SubtleEmphasis"/>
          <w:rFonts w:ascii="Gill Sans MT" w:hAnsi="Gill Sans MT"/>
          <w:b/>
          <w:color w:val="auto"/>
          <w:sz w:val="28"/>
          <w:szCs w:val="28"/>
        </w:rPr>
      </w:pPr>
      <w:r>
        <w:rPr>
          <w:rStyle w:val="SubtleEmphasis"/>
          <w:rFonts w:ascii="Gill Sans MT" w:hAnsi="Gill Sans MT"/>
          <w:b/>
          <w:color w:val="auto"/>
          <w:sz w:val="28"/>
          <w:szCs w:val="28"/>
        </w:rPr>
        <w:t>Task 2</w:t>
      </w:r>
    </w:p>
    <w:p w:rsidR="00441389" w:rsidRPr="00441389" w:rsidRDefault="00D9760A" w:rsidP="00441389">
      <w:pPr>
        <w:pStyle w:val="NoSpacing"/>
        <w:rPr>
          <w:rStyle w:val="SubtleEmphasis"/>
          <w:rFonts w:ascii="Gill Sans MT" w:hAnsi="Gill Sans MT"/>
          <w:b/>
          <w:iCs w:val="0"/>
          <w:color w:val="auto"/>
          <w:sz w:val="28"/>
          <w:szCs w:val="28"/>
        </w:rPr>
      </w:pPr>
      <w:r w:rsidRPr="00D9760A">
        <w:rPr>
          <w:rStyle w:val="SubtleEmphasis"/>
          <w:rFonts w:ascii="Gill Sans MT" w:hAnsi="Gill Sans MT"/>
          <w:b/>
          <w:color w:val="auto"/>
          <w:sz w:val="28"/>
          <w:szCs w:val="28"/>
          <w:u w:val="single"/>
        </w:rPr>
        <w:t>Cognitive Explanation 2-</w:t>
      </w:r>
      <w:r w:rsidR="000922E4">
        <w:rPr>
          <w:rStyle w:val="SubtleEmphasis"/>
          <w:rFonts w:ascii="Gill Sans MT" w:hAnsi="Gill Sans MT"/>
          <w:b/>
          <w:color w:val="auto"/>
          <w:sz w:val="28"/>
          <w:szCs w:val="28"/>
          <w:u w:val="single"/>
        </w:rPr>
        <w:t xml:space="preserve"> </w:t>
      </w:r>
      <w:r w:rsidR="00441389" w:rsidRPr="00D9760A">
        <w:rPr>
          <w:rStyle w:val="SubtleEmphasis"/>
          <w:rFonts w:ascii="Gill Sans MT" w:hAnsi="Gill Sans MT"/>
          <w:b/>
          <w:color w:val="auto"/>
          <w:sz w:val="28"/>
          <w:szCs w:val="28"/>
          <w:u w:val="single"/>
        </w:rPr>
        <w:t>Gender Schema Theory</w:t>
      </w:r>
      <w:r w:rsidR="00441389" w:rsidRPr="00441389">
        <w:rPr>
          <w:rStyle w:val="SubtleEmphasis"/>
          <w:rFonts w:ascii="Gill Sans MT" w:hAnsi="Gill Sans MT"/>
          <w:b/>
          <w:color w:val="auto"/>
          <w:sz w:val="28"/>
          <w:szCs w:val="28"/>
        </w:rPr>
        <w:t xml:space="preserve"> </w:t>
      </w:r>
    </w:p>
    <w:p w:rsidR="00441389" w:rsidRDefault="00441389" w:rsidP="00441389">
      <w:pPr>
        <w:pStyle w:val="NoSpacing"/>
        <w:rPr>
          <w:rStyle w:val="SubtleEmphasis"/>
          <w:rFonts w:ascii="Gill Sans MT" w:hAnsi="Gill Sans MT"/>
          <w:i w:val="0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i w:val="0"/>
          <w:color w:val="auto"/>
          <w:sz w:val="24"/>
          <w:szCs w:val="24"/>
        </w:rPr>
        <w:t>Watch the video on gender schema</w:t>
      </w:r>
      <w:r w:rsidRPr="00441389">
        <w:rPr>
          <w:rStyle w:val="SubtleEmphasis"/>
          <w:rFonts w:ascii="Gill Sans MT" w:hAnsi="Gill Sans MT"/>
          <w:i w:val="0"/>
          <w:iCs w:val="0"/>
          <w:color w:val="auto"/>
          <w:sz w:val="24"/>
          <w:szCs w:val="24"/>
        </w:rPr>
        <w:t xml:space="preserve"> theory at </w:t>
      </w:r>
      <w:hyperlink r:id="rId8" w:history="1">
        <w:r w:rsidRPr="00441389">
          <w:rPr>
            <w:rStyle w:val="Hyperlink"/>
            <w:rFonts w:ascii="Gill Sans MT" w:hAnsi="Gill Sans MT"/>
            <w:i/>
            <w:color w:val="auto"/>
            <w:sz w:val="24"/>
            <w:szCs w:val="24"/>
          </w:rPr>
          <w:t>https://www.youtube.com/watch?v=scZ_Ys4AY2g</w:t>
        </w:r>
      </w:hyperlink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b/>
          <w:i w:val="0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i w:val="0"/>
          <w:color w:val="auto"/>
          <w:sz w:val="24"/>
          <w:szCs w:val="24"/>
        </w:rPr>
        <w:t xml:space="preserve"> </w:t>
      </w:r>
      <w:proofErr w:type="gramStart"/>
      <w:r w:rsidRPr="00441389">
        <w:rPr>
          <w:rStyle w:val="SubtleEmphasis"/>
          <w:rFonts w:ascii="Gill Sans MT" w:hAnsi="Gill Sans MT"/>
          <w:i w:val="0"/>
          <w:color w:val="auto"/>
          <w:sz w:val="24"/>
          <w:szCs w:val="24"/>
        </w:rPr>
        <w:t>and</w:t>
      </w:r>
      <w:proofErr w:type="gramEnd"/>
      <w:r w:rsidRPr="00441389">
        <w:rPr>
          <w:rStyle w:val="SubtleEmphasis"/>
          <w:rFonts w:ascii="Gill Sans MT" w:hAnsi="Gill Sans MT"/>
          <w:i w:val="0"/>
          <w:color w:val="auto"/>
          <w:sz w:val="24"/>
          <w:szCs w:val="24"/>
        </w:rPr>
        <w:t xml:space="preserve"> answer the following questions: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What is a schema?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What information might be contained in someone’s gender schema for ‘man’?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Why might a person be unlikely to pay attention to a ‘soft delicate’ man?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Where do children get their gender schemas from?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How can gender schema theory explain a boy’s disruptive behaviour in the classroom, or a girl not trying at maths?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3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Give three ways that gender role schemas can be broken down by teachers according to the video: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b/>
          <w:color w:val="auto"/>
          <w:sz w:val="24"/>
          <w:szCs w:val="24"/>
        </w:rPr>
        <w:t xml:space="preserve">Task </w:t>
      </w:r>
      <w:r>
        <w:rPr>
          <w:rStyle w:val="SubtleEmphasis"/>
          <w:rFonts w:ascii="Gill Sans MT" w:hAnsi="Gill Sans MT"/>
          <w:b/>
          <w:color w:val="auto"/>
          <w:sz w:val="24"/>
          <w:szCs w:val="24"/>
        </w:rPr>
        <w:t>3</w:t>
      </w:r>
      <w:r w:rsidRPr="00441389">
        <w:rPr>
          <w:rStyle w:val="SubtleEmphasis"/>
          <w:rFonts w:ascii="Gill Sans MT" w:hAnsi="Gill Sans MT"/>
          <w:b/>
          <w:color w:val="auto"/>
          <w:sz w:val="24"/>
          <w:szCs w:val="24"/>
        </w:rPr>
        <w:t xml:space="preserve">:  </w:t>
      </w: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Read pages 12 &amp; 13 of the information pack and answer the following questions: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4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 xml:space="preserve"> Identify two key differences between Kohlberg’s theory of gender development and gender schema theory: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4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What are the two types of sex-related schemas?</w:t>
      </w:r>
    </w:p>
    <w:p w:rsidR="00441389" w:rsidRPr="00441389" w:rsidRDefault="00441389" w:rsidP="00441389">
      <w:pPr>
        <w:pStyle w:val="NoSpacing"/>
        <w:ind w:left="720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_________________________________________________________________________</w:t>
      </w:r>
    </w:p>
    <w:p w:rsidR="00441389" w:rsidRPr="00441389" w:rsidRDefault="00441389" w:rsidP="00441389">
      <w:pPr>
        <w:pStyle w:val="NoSpacing"/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</w:p>
    <w:p w:rsidR="00441389" w:rsidRPr="00441389" w:rsidRDefault="00441389" w:rsidP="00441389">
      <w:pPr>
        <w:pStyle w:val="NoSpacing"/>
        <w:numPr>
          <w:ilvl w:val="0"/>
          <w:numId w:val="4"/>
        </w:numPr>
        <w:rPr>
          <w:rStyle w:val="SubtleEmphasis"/>
          <w:rFonts w:ascii="Gill Sans MT" w:hAnsi="Gill Sans MT"/>
          <w:iCs w:val="0"/>
          <w:color w:val="auto"/>
          <w:sz w:val="24"/>
          <w:szCs w:val="24"/>
        </w:rPr>
      </w:pPr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 xml:space="preserve"> Highlight and label examples of the following terms in the paragraph below:  identification of in group / identification of </w:t>
      </w:r>
      <w:proofErr w:type="spellStart"/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>out</w:t>
      </w:r>
      <w:proofErr w:type="spellEnd"/>
      <w:r w:rsidRPr="00441389">
        <w:rPr>
          <w:rStyle w:val="SubtleEmphasis"/>
          <w:rFonts w:ascii="Gill Sans MT" w:hAnsi="Gill Sans MT"/>
          <w:color w:val="auto"/>
          <w:sz w:val="24"/>
          <w:szCs w:val="24"/>
        </w:rPr>
        <w:t xml:space="preserve"> group / identification of own sex / sex-stereotypical behaviour</w:t>
      </w:r>
    </w:p>
    <w:p w:rsidR="00441389" w:rsidRDefault="00441389" w:rsidP="00441389">
      <w:pPr>
        <w:pStyle w:val="NoSpacing"/>
        <w:rPr>
          <w:rFonts w:ascii="Gill Sans MT" w:hAnsi="Gill Sans MT"/>
          <w:sz w:val="24"/>
          <w:szCs w:val="24"/>
        </w:rPr>
      </w:pPr>
    </w:p>
    <w:p w:rsidR="00441389" w:rsidRPr="003D2745" w:rsidRDefault="00441389" w:rsidP="00441389">
      <w:pPr>
        <w:pStyle w:val="NoSpacing"/>
        <w:ind w:left="720"/>
        <w:rPr>
          <w:rStyle w:val="SubtleEmphasis"/>
          <w:rFonts w:ascii="Gill Sans MT" w:hAnsi="Gill Sans MT"/>
          <w:i w:val="0"/>
          <w:iCs w:val="0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Samina</w:t>
      </w:r>
      <w:proofErr w:type="spellEnd"/>
      <w:r>
        <w:rPr>
          <w:rFonts w:ascii="Gill Sans MT" w:hAnsi="Gill Sans MT"/>
          <w:sz w:val="24"/>
          <w:szCs w:val="24"/>
        </w:rPr>
        <w:t xml:space="preserve"> attends a day nursery.  In the nursery there are lots of toys including a pink play house, a toy tool kit and a play kitchen.  </w:t>
      </w:r>
      <w:proofErr w:type="spellStart"/>
      <w:r>
        <w:rPr>
          <w:rFonts w:ascii="Gill Sans MT" w:hAnsi="Gill Sans MT"/>
          <w:sz w:val="24"/>
          <w:szCs w:val="24"/>
        </w:rPr>
        <w:t>Samina</w:t>
      </w:r>
      <w:proofErr w:type="spellEnd"/>
      <w:r>
        <w:rPr>
          <w:rFonts w:ascii="Gill Sans MT" w:hAnsi="Gill Sans MT"/>
          <w:sz w:val="24"/>
          <w:szCs w:val="24"/>
        </w:rPr>
        <w:t xml:space="preserve"> doesn’t play with the tool kit because, as far as she is concerned, tools are for boys, and </w:t>
      </w:r>
      <w:proofErr w:type="spellStart"/>
      <w:r>
        <w:rPr>
          <w:rFonts w:ascii="Gill Sans MT" w:hAnsi="Gill Sans MT"/>
          <w:sz w:val="24"/>
          <w:szCs w:val="24"/>
        </w:rPr>
        <w:t>Samina</w:t>
      </w:r>
      <w:proofErr w:type="spellEnd"/>
      <w:r>
        <w:rPr>
          <w:rFonts w:ascii="Gill Sans MT" w:hAnsi="Gill Sans MT"/>
          <w:sz w:val="24"/>
          <w:szCs w:val="24"/>
        </w:rPr>
        <w:t xml:space="preserve"> knows that she is a girl.  She believes that play houses and kitchens are girls’ toys.  She spends a lot of her time at nursery in the playhouse and pretending to cook in the kitchen</w:t>
      </w:r>
    </w:p>
    <w:p w:rsidR="00441389" w:rsidRPr="00441389" w:rsidRDefault="00441389" w:rsidP="0044138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9760A" w:rsidRDefault="00D9760A" w:rsidP="00C87ED6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:rsidR="00D9760A" w:rsidRDefault="00D9760A" w:rsidP="00C87ED6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4D71" wp14:editId="78DAC33C">
                <wp:simplePos x="0" y="0"/>
                <wp:positionH relativeFrom="column">
                  <wp:posOffset>-163902</wp:posOffset>
                </wp:positionH>
                <wp:positionV relativeFrom="paragraph">
                  <wp:posOffset>-69011</wp:posOffset>
                </wp:positionV>
                <wp:extent cx="6366294" cy="370936"/>
                <wp:effectExtent l="0" t="0" r="158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370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2.9pt;margin-top:-5.45pt;width:501.3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" filled="f" strokecolor="black [3213]"/>
            </w:pict>
          </mc:Fallback>
        </mc:AlternateContent>
      </w:r>
      <w:r>
        <w:rPr>
          <w:rFonts w:ascii="Gill Sans MT" w:hAnsi="Gill Sans MT"/>
          <w:b/>
          <w:sz w:val="36"/>
          <w:szCs w:val="36"/>
        </w:rPr>
        <w:t>The Psychodynamic Explanation of Gender Development</w:t>
      </w:r>
    </w:p>
    <w:p w:rsidR="00C87ED6" w:rsidRDefault="002F23AE" w:rsidP="00D9760A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A65B5A" wp14:editId="640B496F">
            <wp:simplePos x="0" y="0"/>
            <wp:positionH relativeFrom="column">
              <wp:posOffset>4284345</wp:posOffset>
            </wp:positionH>
            <wp:positionV relativeFrom="paragraph">
              <wp:posOffset>130175</wp:posOffset>
            </wp:positionV>
            <wp:extent cx="2469515" cy="1456055"/>
            <wp:effectExtent l="0" t="0" r="6985" b="0"/>
            <wp:wrapTight wrapText="bothSides">
              <wp:wrapPolygon edited="0">
                <wp:start x="0" y="0"/>
                <wp:lineTo x="0" y="21195"/>
                <wp:lineTo x="21494" y="21195"/>
                <wp:lineTo x="21494" y="0"/>
                <wp:lineTo x="0" y="0"/>
              </wp:wrapPolygon>
            </wp:wrapTight>
            <wp:docPr id="1" name="Picture 1" descr="When i learnt about Freud's oedipus complex | ONE DOES NOT SIMPLY HAVE A CRUSH ON THEIR OWN MOTHER | image tagged in memes,one does not simply,oedipus,oedipus complex,psychology,sigmund freud | made w/ Imgflip me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n i learnt about Freud's oedipus complex | ONE DOES NOT SIMPLY HAVE A CRUSH ON THEIR OWN MOTHER | image tagged in memes,one does not simply,oedipus,oedipus complex,psychology,sigmund freud | made w/ Imgflip meme ma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D6" w:rsidRDefault="00C87ED6" w:rsidP="00C87ED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should </w:t>
      </w:r>
      <w:r w:rsidRPr="00D9760A">
        <w:rPr>
          <w:rFonts w:ascii="Century Gothic" w:hAnsi="Century Gothic"/>
          <w:b/>
          <w:sz w:val="32"/>
          <w:szCs w:val="24"/>
        </w:rPr>
        <w:t xml:space="preserve">just be revision </w:t>
      </w:r>
      <w:r w:rsidR="00D9760A">
        <w:rPr>
          <w:rFonts w:ascii="Century Gothic" w:hAnsi="Century Gothic"/>
          <w:b/>
          <w:sz w:val="24"/>
          <w:szCs w:val="24"/>
        </w:rPr>
        <w:t>from the A</w:t>
      </w:r>
      <w:r>
        <w:rPr>
          <w:rFonts w:ascii="Century Gothic" w:hAnsi="Century Gothic"/>
          <w:b/>
          <w:sz w:val="24"/>
          <w:szCs w:val="24"/>
        </w:rPr>
        <w:t xml:space="preserve">pproaches </w:t>
      </w:r>
      <w:r w:rsidR="00D9760A">
        <w:rPr>
          <w:rFonts w:ascii="Century Gothic" w:hAnsi="Century Gothic"/>
          <w:b/>
          <w:sz w:val="24"/>
          <w:szCs w:val="24"/>
        </w:rPr>
        <w:t>in paper 2</w:t>
      </w:r>
    </w:p>
    <w:p w:rsidR="00C87ED6" w:rsidRDefault="00C87ED6" w:rsidP="00C87ED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87ED6" w:rsidRDefault="00D9760A" w:rsidP="00C87ED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4- </w:t>
      </w:r>
      <w:r w:rsidR="00C87ED6">
        <w:rPr>
          <w:rFonts w:ascii="Gill Sans MT" w:hAnsi="Gill Sans MT"/>
          <w:b/>
          <w:sz w:val="24"/>
          <w:szCs w:val="24"/>
        </w:rPr>
        <w:t xml:space="preserve">Define the following with an example </w:t>
      </w:r>
    </w:p>
    <w:p w:rsidR="00C87ED6" w:rsidRDefault="00C87ED6" w:rsidP="00C87ED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Unconscious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Defence mechanism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Repression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Psychosexual development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Psycho- sexual stages</w:t>
      </w:r>
    </w:p>
    <w:p w:rsidR="00C87ED6" w:rsidRDefault="00C87ED6" w:rsidP="00C87ED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Using a textbook or the internet, briefly describe what happens in each of the following psychosexual stages:</w:t>
      </w:r>
    </w:p>
    <w:p w:rsidR="00C87ED6" w:rsidRDefault="00C87ED6" w:rsidP="00C87ED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Oral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Anal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Phallic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Read the descriptions of the </w:t>
      </w:r>
      <w:r w:rsidRPr="00D9760A">
        <w:rPr>
          <w:rFonts w:ascii="Gill Sans MT" w:hAnsi="Gill Sans MT"/>
          <w:b/>
          <w:i/>
          <w:sz w:val="28"/>
          <w:szCs w:val="24"/>
        </w:rPr>
        <w:t>Oedipus and Electra complexes</w:t>
      </w:r>
      <w:r w:rsidRPr="00D9760A">
        <w:rPr>
          <w:rFonts w:ascii="Gill Sans MT" w:hAnsi="Gill Sans MT"/>
          <w:i/>
          <w:sz w:val="28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on p.15 of the information pack, then see if you can match the term on the left to the correct description on the right by drawing a line between them</w:t>
      </w:r>
    </w:p>
    <w:p w:rsidR="00C87ED6" w:rsidRDefault="00C87ED6" w:rsidP="00C87ED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ind w:left="5760" w:hanging="57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Internalisation</w:t>
      </w:r>
      <w:r>
        <w:rPr>
          <w:rFonts w:ascii="Gill Sans MT" w:hAnsi="Gill Sans MT"/>
          <w:sz w:val="24"/>
          <w:szCs w:val="24"/>
        </w:rPr>
        <w:tab/>
        <w:t>The fear that one’s father will remove one’s penis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Electra complex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Taking the values and behaviours of the parent 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as</w:t>
      </w:r>
      <w:proofErr w:type="gramEnd"/>
      <w:r>
        <w:rPr>
          <w:rFonts w:ascii="Gill Sans MT" w:hAnsi="Gill Sans MT"/>
          <w:sz w:val="24"/>
          <w:szCs w:val="24"/>
        </w:rPr>
        <w:t xml:space="preserve"> one’s own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ind w:left="5760" w:hanging="57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Castration anxiety</w:t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female child becomes attracted to her father and resents her mother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ind w:left="5760" w:hanging="57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Identification with the aggressor</w:t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male child becomes attracted to his mother and wishes his father dead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Penis envy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Becoming</w:t>
      </w:r>
      <w:proofErr w:type="gramEnd"/>
      <w:r>
        <w:rPr>
          <w:rFonts w:ascii="Gill Sans MT" w:hAnsi="Gill Sans MT"/>
          <w:sz w:val="24"/>
          <w:szCs w:val="24"/>
        </w:rPr>
        <w:t xml:space="preserve"> like the person you fear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Oedipus complex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Anxiety over not having a penis</w:t>
      </w:r>
    </w:p>
    <w:p w:rsidR="00C87ED6" w:rsidRDefault="00C87ED6" w:rsidP="00C87ED6">
      <w:pPr>
        <w:pStyle w:val="NoSpacing"/>
        <w:rPr>
          <w:rFonts w:ascii="Gill Sans MT" w:hAnsi="Gill Sans MT"/>
          <w:sz w:val="24"/>
          <w:szCs w:val="24"/>
        </w:rPr>
      </w:pPr>
    </w:p>
    <w:p w:rsidR="00D9760A" w:rsidRPr="00D9760A" w:rsidRDefault="00D9760A" w:rsidP="00D9760A">
      <w:pPr>
        <w:pStyle w:val="NoSpacing"/>
        <w:rPr>
          <w:rFonts w:ascii="Gill Sans MT" w:hAnsi="Gill Sans MT"/>
          <w:b/>
          <w:sz w:val="28"/>
          <w:szCs w:val="28"/>
          <w:u w:val="single"/>
        </w:rPr>
      </w:pPr>
      <w:r w:rsidRPr="00D9760A">
        <w:rPr>
          <w:rFonts w:ascii="Gill Sans MT" w:hAnsi="Gill Sans MT"/>
          <w:b/>
          <w:sz w:val="28"/>
          <w:szCs w:val="28"/>
          <w:u w:val="single"/>
        </w:rPr>
        <w:t>Summarise the following two research studies from your pack</w:t>
      </w:r>
    </w:p>
    <w:p w:rsidR="00D9760A" w:rsidRP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4"/>
          <w:szCs w:val="24"/>
        </w:rPr>
        <w:t>Point</w:t>
      </w:r>
      <w:proofErr w:type="gramStart"/>
      <w:r>
        <w:rPr>
          <w:rFonts w:ascii="Gill Sans MT" w:hAnsi="Gill Sans MT"/>
          <w:b/>
          <w:sz w:val="24"/>
          <w:szCs w:val="24"/>
        </w:rPr>
        <w:t xml:space="preserve">-  </w:t>
      </w:r>
      <w:r w:rsidRPr="00D9760A">
        <w:rPr>
          <w:rFonts w:ascii="Gill Sans MT" w:hAnsi="Gill Sans MT"/>
          <w:sz w:val="24"/>
          <w:szCs w:val="24"/>
        </w:rPr>
        <w:t>Support</w:t>
      </w:r>
      <w:proofErr w:type="gramEnd"/>
      <w:r w:rsidRPr="00D9760A">
        <w:rPr>
          <w:rFonts w:ascii="Gill Sans MT" w:hAnsi="Gill Sans MT"/>
          <w:sz w:val="24"/>
          <w:szCs w:val="24"/>
        </w:rPr>
        <w:t xml:space="preserve"> has been provided for the Psychodynamic approach to Gender development</w:t>
      </w:r>
      <w:r>
        <w:rPr>
          <w:rFonts w:ascii="Gill Sans MT" w:hAnsi="Gill Sans MT"/>
          <w:sz w:val="24"/>
          <w:szCs w:val="24"/>
        </w:rPr>
        <w:t>.</w:t>
      </w: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Explain </w:t>
      </w:r>
      <w:r w:rsidRPr="00D9760A">
        <w:rPr>
          <w:rFonts w:ascii="Gill Sans MT" w:hAnsi="Gill Sans MT"/>
          <w:sz w:val="24"/>
          <w:szCs w:val="24"/>
        </w:rPr>
        <w:t>Freud (1909)</w:t>
      </w:r>
      <w:r>
        <w:rPr>
          <w:rFonts w:ascii="Gill Sans MT" w:hAnsi="Gill Sans MT"/>
          <w:sz w:val="24"/>
          <w:szCs w:val="24"/>
        </w:rPr>
        <w:t xml:space="preserve"> carried out a case study of a five-year-old boy known as ‘Little Hans’.  </w:t>
      </w: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282141" w:rsidRDefault="00282141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P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So what? </w:t>
      </w:r>
      <w:proofErr w:type="gramStart"/>
      <w:r>
        <w:rPr>
          <w:rFonts w:ascii="Gill Sans MT" w:hAnsi="Gill Sans MT"/>
          <w:b/>
          <w:sz w:val="24"/>
          <w:szCs w:val="24"/>
        </w:rPr>
        <w:t>(how does it support the psychodynamic theory of Gender?)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- </w:t>
      </w:r>
      <w:r w:rsidRPr="00D9760A">
        <w:rPr>
          <w:rFonts w:ascii="Gill Sans MT" w:hAnsi="Gill Sans MT"/>
          <w:sz w:val="24"/>
          <w:szCs w:val="24"/>
        </w:rPr>
        <w:t>Little Hans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D9760A">
        <w:rPr>
          <w:rFonts w:ascii="Gill Sans MT" w:hAnsi="Gill Sans MT"/>
          <w:sz w:val="24"/>
          <w:szCs w:val="24"/>
        </w:rPr>
        <w:t>had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:rsid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9760A" w:rsidRP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Point</w:t>
      </w:r>
      <w:r>
        <w:rPr>
          <w:rFonts w:ascii="Gill Sans MT" w:hAnsi="Gill Sans MT"/>
          <w:b/>
          <w:sz w:val="24"/>
          <w:szCs w:val="24"/>
        </w:rPr>
        <w:t>-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D9760A">
        <w:rPr>
          <w:rFonts w:ascii="Gill Sans MT" w:hAnsi="Gill Sans MT"/>
          <w:sz w:val="24"/>
          <w:szCs w:val="24"/>
        </w:rPr>
        <w:t>Support has been provided for the Psychodynamic approach to Gender development</w:t>
      </w: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Explain </w:t>
      </w:r>
      <w:r w:rsidRPr="00D9760A">
        <w:rPr>
          <w:rFonts w:ascii="Gill Sans MT" w:hAnsi="Gill Sans MT"/>
          <w:sz w:val="24"/>
          <w:szCs w:val="24"/>
        </w:rPr>
        <w:t>Friedman (1952)</w:t>
      </w:r>
      <w:r>
        <w:rPr>
          <w:rFonts w:ascii="Gill Sans MT" w:hAnsi="Gill Sans MT"/>
          <w:sz w:val="24"/>
          <w:szCs w:val="24"/>
        </w:rPr>
        <w:t xml:space="preserve"> found </w:t>
      </w: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Default="00D9760A" w:rsidP="00D9760A">
      <w:pPr>
        <w:pStyle w:val="NoSpacing"/>
        <w:rPr>
          <w:rFonts w:ascii="Gill Sans MT" w:hAnsi="Gill Sans MT"/>
          <w:sz w:val="24"/>
          <w:szCs w:val="24"/>
        </w:rPr>
      </w:pPr>
    </w:p>
    <w:p w:rsidR="00D9760A" w:rsidRPr="00D9760A" w:rsidRDefault="00D9760A" w:rsidP="00D9760A">
      <w:pPr>
        <w:pStyle w:val="NoSpacing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D9760A">
        <w:rPr>
          <w:rFonts w:ascii="Gill Sans MT" w:hAnsi="Gill Sans MT"/>
          <w:b/>
          <w:sz w:val="24"/>
          <w:szCs w:val="24"/>
        </w:rPr>
        <w:t>So what</w:t>
      </w:r>
      <w:r>
        <w:rPr>
          <w:rFonts w:ascii="Gill Sans MT" w:hAnsi="Gill Sans MT"/>
          <w:b/>
          <w:sz w:val="24"/>
          <w:szCs w:val="24"/>
        </w:rPr>
        <w:t>?</w:t>
      </w:r>
    </w:p>
    <w:p w:rsidR="00C87ED6" w:rsidRPr="00D9760A" w:rsidRDefault="00C87ED6" w:rsidP="00D9760A">
      <w:pPr>
        <w:pStyle w:val="NoSpacing"/>
        <w:rPr>
          <w:rFonts w:ascii="Gill Sans MT" w:hAnsi="Gill Sans MT"/>
          <w:i/>
          <w:sz w:val="24"/>
          <w:szCs w:val="24"/>
        </w:rPr>
      </w:pPr>
    </w:p>
    <w:sectPr w:rsidR="00C87ED6" w:rsidRPr="00D9760A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43"/>
    <w:multiLevelType w:val="hybridMultilevel"/>
    <w:tmpl w:val="49B8A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234B"/>
    <w:multiLevelType w:val="hybridMultilevel"/>
    <w:tmpl w:val="59325E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7002B"/>
    <w:multiLevelType w:val="hybridMultilevel"/>
    <w:tmpl w:val="E00CAC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044A"/>
    <w:multiLevelType w:val="hybridMultilevel"/>
    <w:tmpl w:val="DABA9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7F46"/>
    <w:multiLevelType w:val="hybridMultilevel"/>
    <w:tmpl w:val="C5A24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D"/>
    <w:rsid w:val="000922E4"/>
    <w:rsid w:val="000A2F52"/>
    <w:rsid w:val="00163119"/>
    <w:rsid w:val="001944BD"/>
    <w:rsid w:val="001A335A"/>
    <w:rsid w:val="001A5F3A"/>
    <w:rsid w:val="001B1013"/>
    <w:rsid w:val="00282141"/>
    <w:rsid w:val="002A2C9C"/>
    <w:rsid w:val="002F23AE"/>
    <w:rsid w:val="003336DA"/>
    <w:rsid w:val="00437A12"/>
    <w:rsid w:val="00441389"/>
    <w:rsid w:val="00493534"/>
    <w:rsid w:val="004F0A41"/>
    <w:rsid w:val="005A56C0"/>
    <w:rsid w:val="00810E34"/>
    <w:rsid w:val="00927EBD"/>
    <w:rsid w:val="009575F9"/>
    <w:rsid w:val="009619BC"/>
    <w:rsid w:val="009E7A6A"/>
    <w:rsid w:val="00C8305C"/>
    <w:rsid w:val="00C87ED6"/>
    <w:rsid w:val="00D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4B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4138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4B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4138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Z_Ys4AY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AA1-73EE-4CFC-9A38-A046E8A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9C50B917.dotm</Template>
  <TotalTime>15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s.pedley</cp:lastModifiedBy>
  <cp:revision>8</cp:revision>
  <dcterms:created xsi:type="dcterms:W3CDTF">2018-03-02T14:12:00Z</dcterms:created>
  <dcterms:modified xsi:type="dcterms:W3CDTF">2018-03-02T14:34:00Z</dcterms:modified>
</cp:coreProperties>
</file>