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Pr="00057036" w:rsidRDefault="0031246B">
      <w:pPr>
        <w:rPr>
          <w:rFonts w:ascii="Verdana" w:hAnsi="Verdana" w:cs="Arial"/>
          <w:b/>
          <w:sz w:val="20"/>
          <w:szCs w:val="20"/>
        </w:rPr>
      </w:pPr>
      <w:r w:rsidRPr="00057036">
        <w:rPr>
          <w:rFonts w:ascii="Verdana" w:hAnsi="Verdana" w:cs="Arial"/>
          <w:b/>
          <w:sz w:val="20"/>
          <w:szCs w:val="20"/>
        </w:rPr>
        <w:t>“Conformity: Asch revisited</w:t>
      </w:r>
      <w:proofErr w:type="gramStart"/>
      <w:r w:rsidRPr="00057036">
        <w:rPr>
          <w:rFonts w:ascii="Verdana" w:hAnsi="Verdana" w:cs="Arial"/>
          <w:b/>
          <w:sz w:val="20"/>
          <w:szCs w:val="20"/>
        </w:rPr>
        <w:t>”</w:t>
      </w:r>
      <w:r w:rsidR="00057036">
        <w:rPr>
          <w:rFonts w:ascii="Verdana" w:hAnsi="Verdana" w:cs="Arial"/>
          <w:b/>
          <w:sz w:val="20"/>
          <w:szCs w:val="20"/>
        </w:rPr>
        <w:t xml:space="preserve"> </w:t>
      </w:r>
      <w:r w:rsidRPr="00057036">
        <w:rPr>
          <w:rFonts w:ascii="Verdana" w:hAnsi="Verdana" w:cs="Arial"/>
          <w:b/>
          <w:sz w:val="20"/>
          <w:szCs w:val="20"/>
        </w:rPr>
        <w:t xml:space="preserve"> (</w:t>
      </w:r>
      <w:proofErr w:type="gramEnd"/>
      <w:r w:rsidRPr="00057036">
        <w:rPr>
          <w:rFonts w:ascii="Verdana" w:hAnsi="Verdana" w:cs="Arial"/>
          <w:b/>
          <w:sz w:val="20"/>
          <w:szCs w:val="20"/>
        </w:rPr>
        <w:t xml:space="preserve">from Psychology Review, Hornsey and </w:t>
      </w:r>
      <w:proofErr w:type="spellStart"/>
      <w:r w:rsidRPr="00057036">
        <w:rPr>
          <w:rFonts w:ascii="Verdana" w:hAnsi="Verdana" w:cs="Arial"/>
          <w:b/>
          <w:sz w:val="20"/>
          <w:szCs w:val="20"/>
        </w:rPr>
        <w:t>Jetten</w:t>
      </w:r>
      <w:proofErr w:type="spellEnd"/>
      <w:r w:rsidRPr="00057036">
        <w:rPr>
          <w:rFonts w:ascii="Verdana" w:hAnsi="Verdana" w:cs="Arial"/>
          <w:b/>
          <w:sz w:val="20"/>
          <w:szCs w:val="20"/>
        </w:rPr>
        <w:t>, 2015)</w:t>
      </w:r>
    </w:p>
    <w:p w:rsid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Give a general description of the procedures used in Asch’s original 1956 study.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Give a finding from the study.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 xml:space="preserve">What are the </w:t>
      </w:r>
      <w:r w:rsidR="0004122D">
        <w:rPr>
          <w:rFonts w:ascii="Gill Sans MT" w:hAnsi="Gill Sans MT" w:cs="Arial"/>
          <w:sz w:val="20"/>
          <w:szCs w:val="20"/>
        </w:rPr>
        <w:t>‘</w:t>
      </w:r>
      <w:r w:rsidRPr="0004122D">
        <w:rPr>
          <w:rFonts w:ascii="Gill Sans MT" w:hAnsi="Gill Sans MT" w:cs="Arial"/>
          <w:sz w:val="20"/>
          <w:szCs w:val="20"/>
        </w:rPr>
        <w:t>usual</w:t>
      </w:r>
      <w:r w:rsidR="0004122D">
        <w:rPr>
          <w:rFonts w:ascii="Gill Sans MT" w:hAnsi="Gill Sans MT" w:cs="Arial"/>
          <w:sz w:val="20"/>
          <w:szCs w:val="20"/>
        </w:rPr>
        <w:t>’</w:t>
      </w:r>
      <w:r w:rsidRPr="0004122D">
        <w:rPr>
          <w:rFonts w:ascii="Gill Sans MT" w:hAnsi="Gill Sans MT" w:cs="Arial"/>
          <w:sz w:val="20"/>
          <w:szCs w:val="20"/>
        </w:rPr>
        <w:t xml:space="preserve"> conclusions from the study?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Why do the authors of the article claim that the conclusion that most people are extremely conformist is wrong?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Why do the authors claim that we may get different results if we repeated the study</w:t>
      </w:r>
      <w:r w:rsidR="0004122D">
        <w:rPr>
          <w:rFonts w:ascii="Gill Sans MT" w:hAnsi="Gill Sans MT" w:cs="Arial"/>
          <w:sz w:val="20"/>
          <w:szCs w:val="20"/>
        </w:rPr>
        <w:t xml:space="preserve"> in today’s society</w:t>
      </w:r>
      <w:bookmarkStart w:id="0" w:name="_GoBack"/>
      <w:bookmarkEnd w:id="0"/>
      <w:r w:rsidRPr="0004122D">
        <w:rPr>
          <w:rFonts w:ascii="Gill Sans MT" w:hAnsi="Gill Sans MT" w:cs="Arial"/>
          <w:sz w:val="20"/>
          <w:szCs w:val="20"/>
        </w:rPr>
        <w:t>?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What is the evidence from more recent research using Asch’</w:t>
      </w:r>
      <w:r w:rsidR="00C15162" w:rsidRPr="0004122D">
        <w:rPr>
          <w:rFonts w:ascii="Gill Sans MT" w:hAnsi="Gill Sans MT" w:cs="Arial"/>
          <w:sz w:val="20"/>
          <w:szCs w:val="20"/>
        </w:rPr>
        <w:t>s proce</w:t>
      </w:r>
      <w:r w:rsidRPr="0004122D">
        <w:rPr>
          <w:rFonts w:ascii="Gill Sans MT" w:hAnsi="Gill Sans MT" w:cs="Arial"/>
          <w:sz w:val="20"/>
          <w:szCs w:val="20"/>
        </w:rPr>
        <w:t>dures?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31246B" w:rsidP="0004122D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lastRenderedPageBreak/>
        <w:t>Who are more likely to conform according to Walker and Andrade (1996)?</w:t>
      </w:r>
    </w:p>
    <w:p w:rsidR="0031246B" w:rsidRDefault="0031246B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31246B">
      <w:pPr>
        <w:rPr>
          <w:rFonts w:ascii="Gill Sans MT" w:hAnsi="Gill Sans MT" w:cs="Arial"/>
          <w:sz w:val="20"/>
          <w:szCs w:val="20"/>
        </w:rPr>
      </w:pPr>
    </w:p>
    <w:p w:rsidR="0031246B" w:rsidRPr="0004122D" w:rsidRDefault="00057036" w:rsidP="0031246B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What happens when one other confederate agrees with the participant, even though they are both still in the minority?</w:t>
      </w:r>
    </w:p>
    <w:p w:rsidR="00057036" w:rsidRDefault="00057036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57036" w:rsidRPr="0004122D" w:rsidRDefault="00057036" w:rsidP="00057036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>What does that tell us about people always conforming to the majority view</w:t>
      </w:r>
    </w:p>
    <w:p w:rsidR="00057036" w:rsidRDefault="00057036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57036" w:rsidRPr="0004122D" w:rsidRDefault="00057036" w:rsidP="00057036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 xml:space="preserve"> Why is Asch’s use of ‘line judgement’ as a conformity task criticised in the article. You could refer to counter-conformity in your answer</w:t>
      </w:r>
    </w:p>
    <w:p w:rsidR="00057036" w:rsidRDefault="00057036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057036">
      <w:pPr>
        <w:rPr>
          <w:rFonts w:ascii="Gill Sans MT" w:hAnsi="Gill Sans MT" w:cs="Arial"/>
          <w:sz w:val="20"/>
          <w:szCs w:val="20"/>
        </w:rPr>
      </w:pPr>
    </w:p>
    <w:p w:rsidR="00057036" w:rsidRPr="0004122D" w:rsidRDefault="0004122D" w:rsidP="00057036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 xml:space="preserve"> Explain why the authors believe that we are not ‘blind followers’ when we conform</w:t>
      </w:r>
    </w:p>
    <w:p w:rsid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04122D">
      <w:pPr>
        <w:pStyle w:val="ListParagraph"/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04122D">
      <w:pPr>
        <w:rPr>
          <w:rFonts w:ascii="Gill Sans MT" w:hAnsi="Gill Sans MT" w:cs="Arial"/>
          <w:sz w:val="20"/>
          <w:szCs w:val="20"/>
        </w:rPr>
      </w:pPr>
    </w:p>
    <w:p w:rsidR="0004122D" w:rsidRPr="0004122D" w:rsidRDefault="0004122D" w:rsidP="0004122D">
      <w:pPr>
        <w:pStyle w:val="ListParagraph"/>
        <w:numPr>
          <w:ilvl w:val="0"/>
          <w:numId w:val="1"/>
        </w:numPr>
        <w:rPr>
          <w:rFonts w:ascii="Gill Sans MT" w:hAnsi="Gill Sans MT" w:cs="Arial"/>
          <w:sz w:val="20"/>
          <w:szCs w:val="20"/>
        </w:rPr>
      </w:pPr>
      <w:r w:rsidRPr="0004122D">
        <w:rPr>
          <w:rFonts w:ascii="Gill Sans MT" w:hAnsi="Gill Sans MT" w:cs="Arial"/>
          <w:sz w:val="20"/>
          <w:szCs w:val="20"/>
        </w:rPr>
        <w:t xml:space="preserve"> Why do the authors ask that in modern times, “are we not conforming to a norm to be non-conformist?”</w:t>
      </w:r>
    </w:p>
    <w:sectPr w:rsidR="0004122D" w:rsidRPr="0004122D" w:rsidSect="0004122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698"/>
    <w:multiLevelType w:val="hybridMultilevel"/>
    <w:tmpl w:val="68C83C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6B"/>
    <w:rsid w:val="0004122D"/>
    <w:rsid w:val="00057036"/>
    <w:rsid w:val="000A2F52"/>
    <w:rsid w:val="00163119"/>
    <w:rsid w:val="001B1013"/>
    <w:rsid w:val="0031246B"/>
    <w:rsid w:val="00C1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AD3F-D7D1-4DE1-ADCC-8F0FAA89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75DA7245.dotm</Template>
  <TotalTime>157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2015-06-25T13:36:00Z</dcterms:created>
  <dcterms:modified xsi:type="dcterms:W3CDTF">2015-06-25T16:29:00Z</dcterms:modified>
</cp:coreProperties>
</file>