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85" w:rsidRPr="009A3F85" w:rsidRDefault="009A3F85" w:rsidP="00FC1573">
      <w:pPr>
        <w:rPr>
          <w:rFonts w:ascii="Arial" w:hAnsi="Arial" w:cs="Arial"/>
          <w:b/>
          <w:szCs w:val="20"/>
          <w:u w:val="single"/>
        </w:rPr>
      </w:pPr>
      <w:r w:rsidRPr="009A3F85">
        <w:rPr>
          <w:rFonts w:ascii="Arial" w:hAnsi="Arial" w:cs="Arial"/>
          <w:b/>
          <w:szCs w:val="20"/>
          <w:u w:val="single"/>
        </w:rPr>
        <w:t>Plan the following essay. Ensure your Evaluation is P E S structured and clearly planned</w:t>
      </w:r>
    </w:p>
    <w:p w:rsidR="009A3F85" w:rsidRPr="009A3F85" w:rsidRDefault="009A3F85" w:rsidP="009A3F85">
      <w:pPr>
        <w:widowControl w:val="0"/>
        <w:autoSpaceDE w:val="0"/>
        <w:autoSpaceDN w:val="0"/>
        <w:adjustRightInd w:val="0"/>
        <w:spacing w:after="0" w:line="240" w:lineRule="auto"/>
        <w:ind w:left="567" w:right="567"/>
        <w:rPr>
          <w:rFonts w:ascii="Arial" w:hAnsi="Arial" w:cs="Arial"/>
          <w:b/>
          <w:bCs/>
          <w:szCs w:val="20"/>
          <w:lang w:val="en-US"/>
        </w:rPr>
      </w:pPr>
      <w:r w:rsidRPr="009A3F85">
        <w:rPr>
          <w:rFonts w:ascii="Arial" w:hAnsi="Arial" w:cs="Arial"/>
          <w:sz w:val="24"/>
          <w:lang w:val="en-US"/>
        </w:rPr>
        <w:t xml:space="preserve">Discuss biological </w:t>
      </w:r>
      <w:r w:rsidRPr="009A3F85">
        <w:rPr>
          <w:rFonts w:ascii="Arial" w:hAnsi="Arial" w:cs="Arial"/>
          <w:b/>
          <w:bCs/>
          <w:sz w:val="24"/>
          <w:lang w:val="en-US"/>
        </w:rPr>
        <w:t>and</w:t>
      </w:r>
      <w:r w:rsidRPr="009A3F85">
        <w:rPr>
          <w:rFonts w:ascii="Arial" w:hAnsi="Arial" w:cs="Arial"/>
          <w:sz w:val="24"/>
          <w:lang w:val="en-US"/>
        </w:rPr>
        <w:t xml:space="preserve"> social learning explanations of gender development.</w:t>
      </w:r>
      <w:r w:rsidRPr="009A3F85">
        <w:rPr>
          <w:rFonts w:ascii="Arial" w:hAnsi="Arial" w:cs="Arial"/>
          <w:sz w:val="24"/>
          <w:lang w:val="en-US"/>
        </w:rPr>
        <w:t xml:space="preserve">  </w:t>
      </w:r>
      <w:r w:rsidRPr="009A3F85">
        <w:rPr>
          <w:rFonts w:ascii="Arial" w:hAnsi="Arial" w:cs="Arial"/>
          <w:sz w:val="24"/>
          <w:lang w:val="en-US"/>
        </w:rPr>
        <w:t xml:space="preserve">Refer to </w:t>
      </w:r>
      <w:r w:rsidRPr="00AE634A">
        <w:rPr>
          <w:rFonts w:ascii="Arial" w:hAnsi="Arial" w:cs="Arial"/>
          <w:b/>
          <w:sz w:val="24"/>
          <w:lang w:val="en-US"/>
        </w:rPr>
        <w:t>evidence</w:t>
      </w:r>
      <w:r w:rsidRPr="009A3F85">
        <w:rPr>
          <w:rFonts w:ascii="Arial" w:hAnsi="Arial" w:cs="Arial"/>
          <w:sz w:val="24"/>
          <w:lang w:val="en-US"/>
        </w:rPr>
        <w:t xml:space="preserve"> in your answer.</w:t>
      </w:r>
      <w:r w:rsidRPr="009A3F85">
        <w:rPr>
          <w:rFonts w:ascii="Arial" w:hAnsi="Arial" w:cs="Arial"/>
          <w:sz w:val="24"/>
          <w:lang w:val="en-US"/>
        </w:rPr>
        <w:t xml:space="preserve"> </w:t>
      </w:r>
      <w:r w:rsidRPr="009A3F85">
        <w:rPr>
          <w:rFonts w:ascii="Arial" w:hAnsi="Arial" w:cs="Arial"/>
          <w:b/>
          <w:bCs/>
          <w:szCs w:val="20"/>
          <w:lang w:val="en-US"/>
        </w:rPr>
        <w:t>(Total 16 marks)</w:t>
      </w:r>
    </w:p>
    <w:tbl>
      <w:tblPr>
        <w:tblStyle w:val="TableGrid"/>
        <w:tblpPr w:leftFromText="180" w:rightFromText="180" w:vertAnchor="text" w:horzAnchor="margin" w:tblpY="128"/>
        <w:tblW w:w="0" w:type="auto"/>
        <w:tblLook w:val="04A0" w:firstRow="1" w:lastRow="0" w:firstColumn="1" w:lastColumn="0" w:noHBand="0" w:noVBand="1"/>
      </w:tblPr>
      <w:tblGrid>
        <w:gridCol w:w="5204"/>
        <w:gridCol w:w="2603"/>
        <w:gridCol w:w="2602"/>
        <w:gridCol w:w="5205"/>
      </w:tblGrid>
      <w:tr w:rsidR="009A3F85" w:rsidRPr="009A3F85" w:rsidTr="009A3F85">
        <w:tc>
          <w:tcPr>
            <w:tcW w:w="15614" w:type="dxa"/>
            <w:gridSpan w:val="4"/>
          </w:tcPr>
          <w:p w:rsidR="009A3F85" w:rsidRPr="009A3F85" w:rsidRDefault="009A3F85" w:rsidP="009A3F85">
            <w:pPr>
              <w:jc w:val="center"/>
              <w:rPr>
                <w:rFonts w:ascii="Arial" w:hAnsi="Arial" w:cs="Arial"/>
                <w:b/>
                <w:sz w:val="28"/>
                <w:szCs w:val="20"/>
                <w:u w:val="single"/>
              </w:rPr>
            </w:pPr>
            <w:r w:rsidRPr="009A3F85">
              <w:rPr>
                <w:rFonts w:ascii="Arial" w:hAnsi="Arial" w:cs="Arial"/>
                <w:b/>
                <w:sz w:val="28"/>
                <w:szCs w:val="20"/>
                <w:u w:val="single"/>
              </w:rPr>
              <w:t>Outline (Ao1)</w:t>
            </w:r>
          </w:p>
        </w:tc>
      </w:tr>
      <w:tr w:rsidR="009A3F85" w:rsidRPr="009A3F85" w:rsidTr="009A3F85">
        <w:tc>
          <w:tcPr>
            <w:tcW w:w="7807" w:type="dxa"/>
            <w:gridSpan w:val="2"/>
          </w:tcPr>
          <w:p w:rsidR="009A3F85" w:rsidRPr="009A3F85" w:rsidRDefault="009A3F85" w:rsidP="009A3F85">
            <w:pPr>
              <w:jc w:val="center"/>
              <w:rPr>
                <w:rFonts w:ascii="Arial" w:hAnsi="Arial" w:cs="Arial"/>
                <w:b/>
                <w:szCs w:val="20"/>
                <w:u w:val="single"/>
              </w:rPr>
            </w:pPr>
            <w:r w:rsidRPr="009A3F85">
              <w:rPr>
                <w:rFonts w:ascii="Arial" w:hAnsi="Arial" w:cs="Arial"/>
                <w:b/>
                <w:szCs w:val="20"/>
                <w:u w:val="single"/>
              </w:rPr>
              <w:t>Biological Explanations</w:t>
            </w: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p w:rsidR="009A3F85" w:rsidRPr="009A3F85" w:rsidRDefault="009A3F85" w:rsidP="009A3F85">
            <w:pPr>
              <w:jc w:val="center"/>
              <w:rPr>
                <w:rFonts w:ascii="Arial" w:hAnsi="Arial" w:cs="Arial"/>
                <w:b/>
                <w:szCs w:val="20"/>
                <w:u w:val="single"/>
              </w:rPr>
            </w:pPr>
          </w:p>
        </w:tc>
        <w:tc>
          <w:tcPr>
            <w:tcW w:w="7807" w:type="dxa"/>
            <w:gridSpan w:val="2"/>
          </w:tcPr>
          <w:p w:rsidR="009A3F85" w:rsidRPr="009A3F85" w:rsidRDefault="009A3F85" w:rsidP="009A3F85">
            <w:pPr>
              <w:jc w:val="center"/>
              <w:rPr>
                <w:rFonts w:ascii="Arial" w:hAnsi="Arial" w:cs="Arial"/>
                <w:b/>
                <w:szCs w:val="20"/>
                <w:u w:val="single"/>
              </w:rPr>
            </w:pPr>
            <w:r w:rsidRPr="009A3F85">
              <w:rPr>
                <w:rFonts w:ascii="Arial" w:hAnsi="Arial" w:cs="Arial"/>
                <w:b/>
                <w:szCs w:val="20"/>
                <w:u w:val="single"/>
              </w:rPr>
              <w:t>Social Learning Explanations</w:t>
            </w:r>
          </w:p>
        </w:tc>
      </w:tr>
      <w:tr w:rsidR="00AE634A" w:rsidRPr="009A3F85" w:rsidTr="00DF706A">
        <w:tc>
          <w:tcPr>
            <w:tcW w:w="15614" w:type="dxa"/>
            <w:gridSpan w:val="4"/>
          </w:tcPr>
          <w:p w:rsidR="00AE634A" w:rsidRDefault="00AE634A" w:rsidP="00AE634A">
            <w:pPr>
              <w:jc w:val="center"/>
              <w:rPr>
                <w:rFonts w:ascii="Arial" w:hAnsi="Arial" w:cs="Arial"/>
                <w:b/>
                <w:sz w:val="28"/>
                <w:szCs w:val="20"/>
                <w:u w:val="single"/>
              </w:rPr>
            </w:pPr>
            <w:r w:rsidRPr="009A3F85">
              <w:rPr>
                <w:rFonts w:ascii="Arial" w:hAnsi="Arial" w:cs="Arial"/>
                <w:b/>
                <w:sz w:val="28"/>
                <w:szCs w:val="20"/>
                <w:u w:val="single"/>
              </w:rPr>
              <w:t>Evaluation (A03)</w:t>
            </w:r>
          </w:p>
        </w:tc>
      </w:tr>
      <w:tr w:rsidR="00AE634A" w:rsidRPr="009A3F85" w:rsidTr="00292F6B">
        <w:tc>
          <w:tcPr>
            <w:tcW w:w="5204" w:type="dxa"/>
          </w:tcPr>
          <w:p w:rsidR="00AE634A" w:rsidRPr="00AE634A" w:rsidRDefault="00AE634A" w:rsidP="00AE634A">
            <w:pPr>
              <w:rPr>
                <w:rFonts w:ascii="Arial" w:hAnsi="Arial" w:cs="Arial"/>
                <w:b/>
                <w:szCs w:val="20"/>
              </w:rPr>
            </w:pPr>
            <w:r w:rsidRPr="00AE634A">
              <w:rPr>
                <w:rFonts w:ascii="Arial" w:hAnsi="Arial" w:cs="Arial"/>
                <w:b/>
                <w:szCs w:val="20"/>
              </w:rPr>
              <w:t xml:space="preserve">Point 1- Supporting Evidence </w:t>
            </w:r>
            <w:bookmarkStart w:id="0" w:name="_GoBack"/>
            <w:bookmarkEnd w:id="0"/>
          </w:p>
          <w:p w:rsidR="00AE634A" w:rsidRPr="00AE634A" w:rsidRDefault="00AE634A" w:rsidP="00AE634A">
            <w:pPr>
              <w:rPr>
                <w:rFonts w:ascii="Arial" w:hAnsi="Arial" w:cs="Arial"/>
                <w:b/>
                <w:szCs w:val="20"/>
                <w:u w:val="single"/>
              </w:rPr>
            </w:pPr>
          </w:p>
          <w:p w:rsidR="00AE634A" w:rsidRDefault="00AE634A" w:rsidP="00AE634A">
            <w:pP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tc>
        <w:tc>
          <w:tcPr>
            <w:tcW w:w="5205" w:type="dxa"/>
            <w:gridSpan w:val="2"/>
          </w:tcPr>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tc>
        <w:tc>
          <w:tcPr>
            <w:tcW w:w="5205" w:type="dxa"/>
          </w:tcPr>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Default="00AE634A" w:rsidP="009A3F85">
            <w:pPr>
              <w:jc w:val="center"/>
              <w:rPr>
                <w:rFonts w:ascii="Arial" w:hAnsi="Arial" w:cs="Arial"/>
                <w:b/>
                <w:sz w:val="28"/>
                <w:szCs w:val="20"/>
                <w:u w:val="single"/>
              </w:rPr>
            </w:pPr>
          </w:p>
          <w:p w:rsidR="00AE634A" w:rsidRPr="009A3F85" w:rsidRDefault="00AE634A" w:rsidP="00AE634A">
            <w:pPr>
              <w:rPr>
                <w:rFonts w:ascii="Arial" w:hAnsi="Arial" w:cs="Arial"/>
                <w:b/>
                <w:szCs w:val="20"/>
                <w:u w:val="single"/>
              </w:rPr>
            </w:pPr>
          </w:p>
        </w:tc>
      </w:tr>
    </w:tbl>
    <w:p w:rsidR="00163119" w:rsidRDefault="009A3F85" w:rsidP="009C54BB">
      <w:pPr>
        <w:jc w:val="center"/>
        <w:rPr>
          <w:rFonts w:ascii="Roboto" w:hAnsi="Roboto" w:cs="Arial"/>
          <w:b/>
          <w:sz w:val="28"/>
          <w:szCs w:val="20"/>
          <w:u w:val="single"/>
        </w:rPr>
      </w:pPr>
      <w:r w:rsidRPr="009C54BB">
        <w:rPr>
          <w:rFonts w:ascii="Roboto" w:hAnsi="Roboto" w:cs="Arial"/>
          <w:b/>
          <w:sz w:val="28"/>
          <w:szCs w:val="20"/>
          <w:u w:val="single"/>
        </w:rPr>
        <w:lastRenderedPageBreak/>
        <w:softHyphen/>
      </w:r>
      <w:r w:rsidRPr="009C54BB">
        <w:rPr>
          <w:rFonts w:ascii="Roboto" w:hAnsi="Roboto" w:cs="Arial"/>
          <w:b/>
          <w:sz w:val="28"/>
          <w:szCs w:val="20"/>
          <w:u w:val="single"/>
        </w:rPr>
        <w:softHyphen/>
      </w:r>
      <w:r w:rsidRPr="009C54BB">
        <w:rPr>
          <w:rFonts w:ascii="Roboto" w:hAnsi="Roboto" w:cs="Arial"/>
          <w:b/>
          <w:sz w:val="28"/>
          <w:szCs w:val="20"/>
          <w:u w:val="single"/>
        </w:rPr>
        <w:softHyphen/>
      </w:r>
      <w:r w:rsidRPr="009C54BB">
        <w:rPr>
          <w:rFonts w:ascii="Roboto" w:hAnsi="Roboto" w:cs="Arial"/>
          <w:b/>
          <w:sz w:val="28"/>
          <w:szCs w:val="20"/>
          <w:u w:val="single"/>
        </w:rPr>
        <w:softHyphen/>
      </w:r>
      <w:r w:rsidR="00FC1573" w:rsidRPr="009C54BB">
        <w:rPr>
          <w:rFonts w:ascii="Roboto" w:hAnsi="Roboto" w:cs="Arial"/>
          <w:b/>
          <w:sz w:val="28"/>
          <w:szCs w:val="20"/>
          <w:u w:val="single"/>
        </w:rPr>
        <w:t>Evaluating explanations of gender development</w:t>
      </w:r>
      <w:r w:rsidR="009C54BB">
        <w:rPr>
          <w:rFonts w:ascii="Roboto" w:hAnsi="Roboto" w:cs="Arial"/>
          <w:b/>
          <w:sz w:val="28"/>
          <w:szCs w:val="20"/>
          <w:u w:val="single"/>
        </w:rPr>
        <w:t xml:space="preserve">: </w:t>
      </w:r>
      <w:r w:rsidR="009C54BB" w:rsidRPr="009C54BB">
        <w:rPr>
          <w:rFonts w:ascii="Roboto" w:hAnsi="Roboto" w:cs="Arial"/>
          <w:b/>
          <w:sz w:val="28"/>
          <w:szCs w:val="20"/>
          <w:u w:val="single"/>
        </w:rPr>
        <w:t xml:space="preserve">The </w:t>
      </w:r>
      <w:r w:rsidR="00FC1573" w:rsidRPr="009C54BB">
        <w:rPr>
          <w:rFonts w:ascii="Roboto" w:hAnsi="Roboto" w:cs="Arial"/>
          <w:b/>
          <w:sz w:val="28"/>
          <w:szCs w:val="20"/>
          <w:u w:val="single"/>
        </w:rPr>
        <w:t>Evidence</w:t>
      </w:r>
    </w:p>
    <w:p w:rsidR="009C54BB" w:rsidRPr="009C54BB" w:rsidRDefault="009C54BB" w:rsidP="00FC1573">
      <w:pPr>
        <w:rPr>
          <w:rFonts w:ascii="Roboto" w:hAnsi="Roboto" w:cs="Arial"/>
          <w:sz w:val="28"/>
          <w:szCs w:val="20"/>
        </w:rPr>
      </w:pPr>
      <w:r w:rsidRPr="009C54BB">
        <w:rPr>
          <w:rFonts w:ascii="Roboto" w:hAnsi="Roboto" w:cs="Arial"/>
          <w:sz w:val="28"/>
          <w:szCs w:val="20"/>
        </w:rPr>
        <w:t>Complete the grid. You must do this without your pack. Interpret the research findings to establish which theory i</w:t>
      </w:r>
      <w:r>
        <w:rPr>
          <w:rFonts w:ascii="Roboto" w:hAnsi="Roboto" w:cs="Arial"/>
          <w:sz w:val="28"/>
          <w:szCs w:val="20"/>
        </w:rPr>
        <w:t>t</w:t>
      </w:r>
      <w:r w:rsidRPr="009C54BB">
        <w:rPr>
          <w:rFonts w:ascii="Roboto" w:hAnsi="Roboto" w:cs="Arial"/>
          <w:sz w:val="28"/>
          <w:szCs w:val="20"/>
        </w:rPr>
        <w:t xml:space="preserve"> </w:t>
      </w:r>
      <w:r>
        <w:rPr>
          <w:rFonts w:ascii="Roboto" w:hAnsi="Roboto" w:cs="Arial"/>
          <w:sz w:val="28"/>
          <w:szCs w:val="20"/>
        </w:rPr>
        <w:t>supports/challenges</w:t>
      </w:r>
    </w:p>
    <w:tbl>
      <w:tblPr>
        <w:tblStyle w:val="TableGrid"/>
        <w:tblW w:w="0" w:type="auto"/>
        <w:tblLook w:val="04A0" w:firstRow="1" w:lastRow="0" w:firstColumn="1" w:lastColumn="0" w:noHBand="0" w:noVBand="1"/>
      </w:tblPr>
      <w:tblGrid>
        <w:gridCol w:w="1548"/>
        <w:gridCol w:w="2748"/>
        <w:gridCol w:w="2849"/>
        <w:gridCol w:w="2593"/>
        <w:gridCol w:w="3162"/>
        <w:gridCol w:w="2714"/>
      </w:tblGrid>
      <w:tr w:rsidR="00572BDA" w:rsidTr="00AF2C76">
        <w:trPr>
          <w:trHeight w:val="287"/>
        </w:trPr>
        <w:tc>
          <w:tcPr>
            <w:tcW w:w="1548" w:type="dxa"/>
          </w:tcPr>
          <w:p w:rsidR="00572BDA" w:rsidRPr="009C54BB" w:rsidRDefault="009C54BB" w:rsidP="00FC1573">
            <w:pPr>
              <w:rPr>
                <w:rFonts w:ascii="Gill Sans MT" w:hAnsi="Gill Sans MT" w:cs="Arial"/>
                <w:b/>
                <w:sz w:val="20"/>
                <w:szCs w:val="24"/>
              </w:rPr>
            </w:pPr>
            <w:r>
              <w:rPr>
                <w:rFonts w:ascii="Gill Sans MT" w:hAnsi="Gill Sans MT" w:cs="Arial"/>
                <w:b/>
                <w:sz w:val="20"/>
                <w:szCs w:val="24"/>
              </w:rPr>
              <w:t>E</w:t>
            </w:r>
            <w:r w:rsidR="00572BDA" w:rsidRPr="009C54BB">
              <w:rPr>
                <w:rFonts w:ascii="Gill Sans MT" w:hAnsi="Gill Sans MT" w:cs="Arial"/>
                <w:b/>
                <w:sz w:val="20"/>
                <w:szCs w:val="24"/>
              </w:rPr>
              <w:t>xplanation &gt;</w:t>
            </w:r>
          </w:p>
        </w:tc>
        <w:tc>
          <w:tcPr>
            <w:tcW w:w="2748" w:type="dxa"/>
          </w:tcPr>
          <w:p w:rsidR="00572BDA" w:rsidRPr="009C54BB" w:rsidRDefault="00572BDA" w:rsidP="00572BDA">
            <w:pPr>
              <w:rPr>
                <w:rFonts w:ascii="Gill Sans MT" w:hAnsi="Gill Sans MT" w:cs="Arial"/>
                <w:sz w:val="20"/>
                <w:szCs w:val="24"/>
              </w:rPr>
            </w:pPr>
          </w:p>
        </w:tc>
        <w:tc>
          <w:tcPr>
            <w:tcW w:w="2849" w:type="dxa"/>
          </w:tcPr>
          <w:p w:rsidR="00572BDA" w:rsidRPr="009C54BB" w:rsidRDefault="00572BDA" w:rsidP="00572BDA">
            <w:pPr>
              <w:rPr>
                <w:rFonts w:ascii="Gill Sans MT" w:hAnsi="Gill Sans MT" w:cs="Arial"/>
                <w:sz w:val="20"/>
                <w:szCs w:val="24"/>
              </w:rPr>
            </w:pPr>
          </w:p>
        </w:tc>
        <w:tc>
          <w:tcPr>
            <w:tcW w:w="2593" w:type="dxa"/>
          </w:tcPr>
          <w:p w:rsidR="00572BDA" w:rsidRPr="009C54BB" w:rsidRDefault="00572BDA" w:rsidP="00572BDA">
            <w:pPr>
              <w:rPr>
                <w:rFonts w:ascii="Gill Sans MT" w:hAnsi="Gill Sans MT" w:cs="Arial"/>
                <w:b/>
                <w:sz w:val="20"/>
                <w:szCs w:val="24"/>
              </w:rPr>
            </w:pPr>
          </w:p>
        </w:tc>
        <w:tc>
          <w:tcPr>
            <w:tcW w:w="3162" w:type="dxa"/>
          </w:tcPr>
          <w:p w:rsidR="00572BDA" w:rsidRPr="009C54BB" w:rsidRDefault="009C54BB" w:rsidP="00572BDA">
            <w:pPr>
              <w:rPr>
                <w:rFonts w:ascii="Gill Sans MT" w:hAnsi="Gill Sans MT" w:cs="Arial"/>
                <w:b/>
                <w:i/>
                <w:sz w:val="20"/>
                <w:szCs w:val="24"/>
              </w:rPr>
            </w:pPr>
            <w:r>
              <w:rPr>
                <w:rFonts w:ascii="Gill Sans MT" w:hAnsi="Gill Sans MT" w:cs="Arial"/>
                <w:b/>
                <w:i/>
                <w:sz w:val="20"/>
                <w:szCs w:val="24"/>
              </w:rPr>
              <w:t xml:space="preserve">Cog: </w:t>
            </w:r>
            <w:r w:rsidR="00572BDA" w:rsidRPr="009C54BB">
              <w:rPr>
                <w:rFonts w:ascii="Gill Sans MT" w:hAnsi="Gill Sans MT" w:cs="Arial"/>
                <w:b/>
                <w:i/>
                <w:sz w:val="20"/>
                <w:szCs w:val="24"/>
              </w:rPr>
              <w:t>Kohlberg’s theory</w:t>
            </w:r>
          </w:p>
        </w:tc>
        <w:tc>
          <w:tcPr>
            <w:tcW w:w="2714" w:type="dxa"/>
          </w:tcPr>
          <w:p w:rsidR="00572BDA" w:rsidRPr="009C54BB" w:rsidRDefault="00572BDA" w:rsidP="00572BDA">
            <w:pPr>
              <w:rPr>
                <w:rFonts w:ascii="Gill Sans MT" w:hAnsi="Gill Sans MT" w:cs="Arial"/>
                <w:b/>
                <w:i/>
                <w:sz w:val="20"/>
                <w:szCs w:val="24"/>
              </w:rPr>
            </w:pPr>
          </w:p>
        </w:tc>
      </w:tr>
      <w:tr w:rsidR="00572BDA" w:rsidTr="00AF2C76">
        <w:trPr>
          <w:trHeight w:val="4726"/>
        </w:trPr>
        <w:tc>
          <w:tcPr>
            <w:tcW w:w="1548" w:type="dxa"/>
          </w:tcPr>
          <w:p w:rsidR="00572BDA" w:rsidRPr="009C54BB" w:rsidRDefault="00572BDA" w:rsidP="00572BDA">
            <w:pPr>
              <w:rPr>
                <w:rFonts w:ascii="Gill Sans MT" w:hAnsi="Gill Sans MT" w:cs="Arial"/>
                <w:b/>
                <w:sz w:val="20"/>
                <w:szCs w:val="24"/>
              </w:rPr>
            </w:pPr>
            <w:r w:rsidRPr="009C54BB">
              <w:rPr>
                <w:rFonts w:ascii="Gill Sans MT" w:hAnsi="Gill Sans MT" w:cs="Arial"/>
                <w:b/>
                <w:sz w:val="20"/>
                <w:szCs w:val="24"/>
              </w:rPr>
              <w:t xml:space="preserve">Evidence </w:t>
            </w:r>
          </w:p>
        </w:tc>
        <w:tc>
          <w:tcPr>
            <w:tcW w:w="2748" w:type="dxa"/>
          </w:tcPr>
          <w:p w:rsidR="00572BDA" w:rsidRPr="009C54BB" w:rsidRDefault="00572BDA" w:rsidP="00FC1573">
            <w:pPr>
              <w:rPr>
                <w:rFonts w:ascii="Gill Sans MT" w:hAnsi="Gill Sans MT" w:cs="Arial"/>
                <w:sz w:val="20"/>
                <w:szCs w:val="24"/>
              </w:rPr>
            </w:pPr>
            <w:r w:rsidRPr="009C54BB">
              <w:rPr>
                <w:rFonts w:ascii="Gill Sans MT" w:hAnsi="Gill Sans MT"/>
                <w:b/>
                <w:sz w:val="20"/>
                <w:szCs w:val="24"/>
              </w:rPr>
              <w:t xml:space="preserve">Martin &amp; Halverson (1983) </w:t>
            </w:r>
            <w:r w:rsidRPr="009C54BB">
              <w:rPr>
                <w:rFonts w:ascii="Gill Sans MT" w:hAnsi="Gill Sans MT"/>
                <w:sz w:val="20"/>
                <w:szCs w:val="24"/>
              </w:rPr>
              <w:t xml:space="preserve">found that children under the age of six were more likely to remember photographs of gender-consistent behaviour than photographs of gender-inconsistent behaviour when tested a week later.  Children tend to change the sex of the person carrying out the gender-inconsistent activity when asked to recall them.  </w:t>
            </w:r>
          </w:p>
        </w:tc>
        <w:tc>
          <w:tcPr>
            <w:tcW w:w="2849" w:type="dxa"/>
          </w:tcPr>
          <w:p w:rsidR="00572BDA" w:rsidRPr="009C54BB" w:rsidRDefault="00572BDA" w:rsidP="00FC1573">
            <w:pPr>
              <w:rPr>
                <w:rFonts w:ascii="Gill Sans MT" w:hAnsi="Gill Sans MT" w:cs="Arial"/>
                <w:sz w:val="20"/>
                <w:szCs w:val="24"/>
              </w:rPr>
            </w:pPr>
            <w:r w:rsidRPr="009C54BB">
              <w:rPr>
                <w:rFonts w:ascii="Gill Sans MT" w:hAnsi="Gill Sans MT"/>
                <w:b/>
                <w:sz w:val="20"/>
                <w:szCs w:val="24"/>
              </w:rPr>
              <w:t>Friedman (1952)</w:t>
            </w:r>
            <w:r w:rsidRPr="009C54BB">
              <w:rPr>
                <w:rFonts w:ascii="Gill Sans MT" w:hAnsi="Gill Sans MT"/>
                <w:sz w:val="20"/>
                <w:szCs w:val="24"/>
              </w:rPr>
              <w:t xml:space="preserve"> found that when a story began with a child doing something nice with their opposite-sex parent and then being joined by the same-sex parent, children produced a sadder end to the story than when a story began with a child doing something nice with their same-sex parent and then being joined by the opposite-sex parent.  </w:t>
            </w:r>
          </w:p>
        </w:tc>
        <w:tc>
          <w:tcPr>
            <w:tcW w:w="2593" w:type="dxa"/>
          </w:tcPr>
          <w:p w:rsidR="00572BDA" w:rsidRPr="009C54BB" w:rsidRDefault="00572BDA" w:rsidP="00572BDA">
            <w:pPr>
              <w:rPr>
                <w:rFonts w:ascii="Gill Sans MT" w:hAnsi="Gill Sans MT" w:cs="Arial"/>
                <w:sz w:val="20"/>
                <w:szCs w:val="24"/>
              </w:rPr>
            </w:pPr>
            <w:r w:rsidRPr="009C54BB">
              <w:rPr>
                <w:rFonts w:ascii="Gill Sans MT" w:hAnsi="Gill Sans MT"/>
                <w:b/>
                <w:sz w:val="20"/>
                <w:szCs w:val="24"/>
              </w:rPr>
              <w:t xml:space="preserve">Fagot &amp; </w:t>
            </w:r>
            <w:proofErr w:type="spellStart"/>
            <w:r w:rsidRPr="009C54BB">
              <w:rPr>
                <w:rFonts w:ascii="Gill Sans MT" w:hAnsi="Gill Sans MT"/>
                <w:b/>
                <w:sz w:val="20"/>
                <w:szCs w:val="24"/>
              </w:rPr>
              <w:t>Leinbach</w:t>
            </w:r>
            <w:proofErr w:type="spellEnd"/>
            <w:r w:rsidRPr="009C54BB">
              <w:rPr>
                <w:rFonts w:ascii="Gill Sans MT" w:hAnsi="Gill Sans MT"/>
                <w:b/>
                <w:sz w:val="20"/>
                <w:szCs w:val="24"/>
              </w:rPr>
              <w:t xml:space="preserve"> (1995) </w:t>
            </w:r>
            <w:r w:rsidRPr="009C54BB">
              <w:rPr>
                <w:rFonts w:ascii="Gill Sans MT" w:hAnsi="Gill Sans MT"/>
                <w:sz w:val="20"/>
                <w:szCs w:val="24"/>
              </w:rPr>
              <w:t xml:space="preserve">found that four-year-olds displayed more gender role stereotyping and used gender labels earlier in ‘traditional’ families where the dad worked and mum cared for the children at home than in ‘alternative’ families where parents shared childcare.  </w:t>
            </w:r>
          </w:p>
        </w:tc>
        <w:tc>
          <w:tcPr>
            <w:tcW w:w="3162" w:type="dxa"/>
          </w:tcPr>
          <w:p w:rsidR="00572BDA" w:rsidRPr="009C54BB" w:rsidRDefault="00572BDA" w:rsidP="00572BDA">
            <w:pPr>
              <w:rPr>
                <w:rFonts w:ascii="Gill Sans MT" w:hAnsi="Gill Sans MT" w:cs="Arial"/>
                <w:sz w:val="20"/>
                <w:szCs w:val="24"/>
              </w:rPr>
            </w:pPr>
            <w:proofErr w:type="spellStart"/>
            <w:r w:rsidRPr="009C54BB">
              <w:rPr>
                <w:rFonts w:ascii="Gill Sans MT" w:hAnsi="Gill Sans MT" w:cs="Arial"/>
                <w:b/>
                <w:sz w:val="20"/>
                <w:szCs w:val="24"/>
              </w:rPr>
              <w:t>Slaby</w:t>
            </w:r>
            <w:proofErr w:type="spellEnd"/>
            <w:r w:rsidRPr="009C54BB">
              <w:rPr>
                <w:rFonts w:ascii="Gill Sans MT" w:hAnsi="Gill Sans MT" w:cs="Arial"/>
                <w:b/>
                <w:sz w:val="20"/>
                <w:szCs w:val="24"/>
              </w:rPr>
              <w:t xml:space="preserve"> &amp; Frey (1975)</w:t>
            </w:r>
            <w:r w:rsidRPr="009C54BB">
              <w:rPr>
                <w:rFonts w:ascii="Gill Sans MT" w:hAnsi="Gill Sans MT" w:cs="Arial"/>
                <w:sz w:val="20"/>
                <w:szCs w:val="24"/>
              </w:rPr>
              <w:t xml:space="preserve"> gave questions to 2-5 year old children to assess their level of gender constancy and then several weeks later showed them a film of a man and woman performing gender stereotypical activities.  Children with high levels of gender constancy paid more attention to the same-sex models than children with low levels of gender constancy.</w:t>
            </w:r>
          </w:p>
        </w:tc>
        <w:tc>
          <w:tcPr>
            <w:tcW w:w="2714" w:type="dxa"/>
          </w:tcPr>
          <w:p w:rsidR="00572BDA" w:rsidRPr="009C54BB" w:rsidRDefault="003D2517" w:rsidP="00572BDA">
            <w:pPr>
              <w:rPr>
                <w:rFonts w:ascii="Gill Sans MT" w:hAnsi="Gill Sans MT" w:cs="Arial"/>
                <w:b/>
                <w:sz w:val="20"/>
                <w:szCs w:val="24"/>
              </w:rPr>
            </w:pPr>
            <w:r w:rsidRPr="009C54BB">
              <w:rPr>
                <w:rFonts w:ascii="Gill Sans MT" w:hAnsi="Gill Sans MT"/>
                <w:b/>
                <w:sz w:val="20"/>
                <w:szCs w:val="24"/>
              </w:rPr>
              <w:t>Martin and Little (1990)</w:t>
            </w:r>
            <w:r w:rsidRPr="009C54BB">
              <w:rPr>
                <w:rFonts w:ascii="Gill Sans MT" w:hAnsi="Gill Sans MT"/>
                <w:sz w:val="20"/>
                <w:szCs w:val="24"/>
              </w:rPr>
              <w:t xml:space="preserve"> found that children under the age of four, who showed no signs of gender stability or constancy, nevertheless demonstrated strongly sex-typed behaviours and attitudes.</w:t>
            </w:r>
          </w:p>
        </w:tc>
      </w:tr>
      <w:tr w:rsidR="00572BDA" w:rsidTr="00AF2C76">
        <w:trPr>
          <w:trHeight w:val="120"/>
        </w:trPr>
        <w:tc>
          <w:tcPr>
            <w:tcW w:w="1548" w:type="dxa"/>
          </w:tcPr>
          <w:p w:rsidR="00572BDA" w:rsidRPr="009C54BB" w:rsidRDefault="009C54BB" w:rsidP="00572BDA">
            <w:pPr>
              <w:rPr>
                <w:rFonts w:ascii="Gill Sans MT" w:hAnsi="Gill Sans MT" w:cs="Arial"/>
                <w:b/>
                <w:sz w:val="20"/>
                <w:szCs w:val="24"/>
              </w:rPr>
            </w:pPr>
            <w:r w:rsidRPr="009C54BB">
              <w:rPr>
                <w:rFonts w:ascii="Gill Sans MT" w:hAnsi="Gill Sans MT" w:cs="Arial"/>
                <w:b/>
                <w:sz w:val="14"/>
                <w:szCs w:val="24"/>
              </w:rPr>
              <w:t>Support</w:t>
            </w:r>
            <w:r w:rsidR="00572BDA" w:rsidRPr="009C54BB">
              <w:rPr>
                <w:rFonts w:ascii="Gill Sans MT" w:hAnsi="Gill Sans MT" w:cs="Arial"/>
                <w:b/>
                <w:sz w:val="14"/>
                <w:szCs w:val="24"/>
              </w:rPr>
              <w:t xml:space="preserve"> </w:t>
            </w:r>
            <w:r w:rsidR="00AF2C76">
              <w:rPr>
                <w:rFonts w:ascii="Gill Sans MT" w:hAnsi="Gill Sans MT" w:cs="Arial"/>
                <w:b/>
                <w:sz w:val="14"/>
                <w:szCs w:val="24"/>
              </w:rPr>
              <w:t>/</w:t>
            </w:r>
            <w:r w:rsidR="00572BDA" w:rsidRPr="009C54BB">
              <w:rPr>
                <w:rFonts w:ascii="Gill Sans MT" w:hAnsi="Gill Sans MT" w:cs="Arial"/>
                <w:b/>
                <w:sz w:val="14"/>
                <w:szCs w:val="24"/>
              </w:rPr>
              <w:t>challenge?</w:t>
            </w:r>
          </w:p>
        </w:tc>
        <w:tc>
          <w:tcPr>
            <w:tcW w:w="2748" w:type="dxa"/>
          </w:tcPr>
          <w:p w:rsidR="00572BDA" w:rsidRPr="009C54BB" w:rsidRDefault="00572BDA" w:rsidP="00572BDA">
            <w:pPr>
              <w:rPr>
                <w:rFonts w:ascii="Gill Sans MT" w:hAnsi="Gill Sans MT" w:cs="Arial"/>
                <w:sz w:val="20"/>
                <w:szCs w:val="24"/>
              </w:rPr>
            </w:pPr>
          </w:p>
        </w:tc>
        <w:tc>
          <w:tcPr>
            <w:tcW w:w="2849" w:type="dxa"/>
          </w:tcPr>
          <w:p w:rsidR="00572BDA" w:rsidRPr="009C54BB" w:rsidRDefault="00572BDA" w:rsidP="00572BDA">
            <w:pPr>
              <w:rPr>
                <w:rFonts w:ascii="Gill Sans MT" w:hAnsi="Gill Sans MT" w:cs="Arial"/>
                <w:sz w:val="20"/>
                <w:szCs w:val="24"/>
              </w:rPr>
            </w:pPr>
          </w:p>
        </w:tc>
        <w:tc>
          <w:tcPr>
            <w:tcW w:w="2593" w:type="dxa"/>
          </w:tcPr>
          <w:p w:rsidR="00572BDA" w:rsidRPr="009C54BB" w:rsidRDefault="00572BDA" w:rsidP="00572BDA">
            <w:pPr>
              <w:rPr>
                <w:rFonts w:ascii="Gill Sans MT" w:hAnsi="Gill Sans MT" w:cs="Arial"/>
                <w:sz w:val="20"/>
                <w:szCs w:val="24"/>
              </w:rPr>
            </w:pPr>
          </w:p>
        </w:tc>
        <w:tc>
          <w:tcPr>
            <w:tcW w:w="3162" w:type="dxa"/>
          </w:tcPr>
          <w:p w:rsidR="00AF2C76" w:rsidRPr="009C54BB" w:rsidRDefault="00AF2C76" w:rsidP="00572BDA">
            <w:pPr>
              <w:rPr>
                <w:rFonts w:ascii="Gill Sans MT" w:hAnsi="Gill Sans MT" w:cs="Arial"/>
                <w:sz w:val="20"/>
                <w:szCs w:val="24"/>
              </w:rPr>
            </w:pPr>
            <w:r>
              <w:rPr>
                <w:rFonts w:ascii="Gill Sans MT" w:hAnsi="Gill Sans MT" w:cs="Arial"/>
                <w:sz w:val="20"/>
                <w:szCs w:val="24"/>
              </w:rPr>
              <w:t>Support</w:t>
            </w:r>
          </w:p>
        </w:tc>
        <w:tc>
          <w:tcPr>
            <w:tcW w:w="2714" w:type="dxa"/>
          </w:tcPr>
          <w:p w:rsidR="00572BDA" w:rsidRPr="009C54BB" w:rsidRDefault="00572BDA" w:rsidP="00572BDA">
            <w:pPr>
              <w:rPr>
                <w:rFonts w:ascii="Gill Sans MT" w:hAnsi="Gill Sans MT" w:cs="Arial"/>
                <w:sz w:val="20"/>
                <w:szCs w:val="24"/>
              </w:rPr>
            </w:pPr>
          </w:p>
        </w:tc>
      </w:tr>
      <w:tr w:rsidR="00572BDA" w:rsidTr="00AF2C76">
        <w:trPr>
          <w:trHeight w:val="120"/>
        </w:trPr>
        <w:tc>
          <w:tcPr>
            <w:tcW w:w="1548" w:type="dxa"/>
          </w:tcPr>
          <w:p w:rsidR="00572BDA" w:rsidRPr="009C54BB" w:rsidRDefault="00572BDA" w:rsidP="00572BDA">
            <w:pPr>
              <w:rPr>
                <w:rFonts w:ascii="Gill Sans MT" w:hAnsi="Gill Sans MT" w:cs="Arial"/>
                <w:b/>
                <w:sz w:val="20"/>
                <w:szCs w:val="24"/>
              </w:rPr>
            </w:pPr>
            <w:r w:rsidRPr="009C54BB">
              <w:rPr>
                <w:rFonts w:ascii="Gill Sans MT" w:hAnsi="Gill Sans MT" w:cs="Arial"/>
                <w:b/>
                <w:sz w:val="20"/>
                <w:szCs w:val="24"/>
              </w:rPr>
              <w:t>How? Why?</w:t>
            </w:r>
          </w:p>
        </w:tc>
        <w:tc>
          <w:tcPr>
            <w:tcW w:w="2748" w:type="dxa"/>
          </w:tcPr>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p w:rsidR="00572BDA" w:rsidRPr="009C54BB" w:rsidRDefault="00572BDA" w:rsidP="00572BDA">
            <w:pPr>
              <w:rPr>
                <w:rFonts w:ascii="Gill Sans MT" w:hAnsi="Gill Sans MT" w:cs="Arial"/>
                <w:sz w:val="20"/>
                <w:szCs w:val="24"/>
              </w:rPr>
            </w:pPr>
          </w:p>
        </w:tc>
        <w:tc>
          <w:tcPr>
            <w:tcW w:w="2849" w:type="dxa"/>
          </w:tcPr>
          <w:p w:rsidR="00572BDA" w:rsidRPr="009C54BB" w:rsidRDefault="00572BDA" w:rsidP="00572BDA">
            <w:pPr>
              <w:rPr>
                <w:rFonts w:ascii="Gill Sans MT" w:hAnsi="Gill Sans MT" w:cs="Arial"/>
                <w:sz w:val="20"/>
                <w:szCs w:val="24"/>
              </w:rPr>
            </w:pPr>
          </w:p>
        </w:tc>
        <w:tc>
          <w:tcPr>
            <w:tcW w:w="2593" w:type="dxa"/>
          </w:tcPr>
          <w:p w:rsidR="00572BDA" w:rsidRPr="009C54BB" w:rsidRDefault="00572BDA" w:rsidP="00572BDA">
            <w:pPr>
              <w:rPr>
                <w:rFonts w:ascii="Gill Sans MT" w:hAnsi="Gill Sans MT" w:cs="Arial"/>
                <w:sz w:val="20"/>
                <w:szCs w:val="24"/>
              </w:rPr>
            </w:pPr>
          </w:p>
        </w:tc>
        <w:tc>
          <w:tcPr>
            <w:tcW w:w="3162" w:type="dxa"/>
          </w:tcPr>
          <w:p w:rsidR="00572BDA" w:rsidRPr="009C54BB" w:rsidRDefault="00572BDA" w:rsidP="00572BDA">
            <w:pPr>
              <w:rPr>
                <w:rFonts w:ascii="Gill Sans MT" w:hAnsi="Gill Sans MT" w:cs="Arial"/>
                <w:sz w:val="20"/>
                <w:szCs w:val="24"/>
              </w:rPr>
            </w:pPr>
            <w:r w:rsidRPr="009C54BB">
              <w:rPr>
                <w:rFonts w:ascii="Gill Sans MT" w:hAnsi="Gill Sans MT"/>
                <w:sz w:val="20"/>
                <w:szCs w:val="24"/>
              </w:rPr>
              <w:t>This suggests that high gender constancy leads to children watching their own gender to acquire information about gender appropriate behaviour, supporting Kohlberg’s theory that children who reach gender constancy seek to behave in a gender appropriate way</w:t>
            </w:r>
          </w:p>
        </w:tc>
        <w:tc>
          <w:tcPr>
            <w:tcW w:w="2714" w:type="dxa"/>
          </w:tcPr>
          <w:p w:rsidR="00572BDA" w:rsidRPr="009C54BB" w:rsidRDefault="00572BDA" w:rsidP="00572BDA">
            <w:pPr>
              <w:rPr>
                <w:rFonts w:ascii="Gill Sans MT" w:hAnsi="Gill Sans MT"/>
                <w:sz w:val="20"/>
                <w:szCs w:val="24"/>
              </w:rPr>
            </w:pPr>
          </w:p>
        </w:tc>
      </w:tr>
    </w:tbl>
    <w:p w:rsidR="00FC1573" w:rsidRPr="00FC1573" w:rsidRDefault="00FC1573" w:rsidP="00FC1573">
      <w:pPr>
        <w:jc w:val="center"/>
        <w:rPr>
          <w:rFonts w:ascii="Roboto" w:hAnsi="Roboto" w:cs="Arial"/>
          <w:b/>
          <w:sz w:val="20"/>
          <w:szCs w:val="20"/>
          <w:u w:val="single"/>
        </w:rPr>
      </w:pPr>
    </w:p>
    <w:sectPr w:rsidR="00FC1573" w:rsidRPr="00FC1573" w:rsidSect="00FC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73"/>
    <w:rsid w:val="000A2F52"/>
    <w:rsid w:val="00163119"/>
    <w:rsid w:val="001B1013"/>
    <w:rsid w:val="003D2517"/>
    <w:rsid w:val="00572BDA"/>
    <w:rsid w:val="007435AB"/>
    <w:rsid w:val="009A3F85"/>
    <w:rsid w:val="009C54BB"/>
    <w:rsid w:val="00AE634A"/>
    <w:rsid w:val="00AF2C76"/>
    <w:rsid w:val="00B055A9"/>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36D3-B937-48E3-B988-51DEF749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pedley</cp:lastModifiedBy>
  <cp:revision>6</cp:revision>
  <dcterms:created xsi:type="dcterms:W3CDTF">2018-03-11T14:07:00Z</dcterms:created>
  <dcterms:modified xsi:type="dcterms:W3CDTF">2018-03-11T14:18:00Z</dcterms:modified>
</cp:coreProperties>
</file>