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74A94" w:rsidTr="00974A94">
        <w:tc>
          <w:tcPr>
            <w:tcW w:w="10682" w:type="dxa"/>
            <w:gridSpan w:val="3"/>
            <w:shd w:val="clear" w:color="auto" w:fill="000000" w:themeFill="text1"/>
          </w:tcPr>
          <w:p w:rsidR="00974A94" w:rsidRPr="00974A94" w:rsidRDefault="00974A94" w:rsidP="00974A9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74A94">
              <w:rPr>
                <w:rFonts w:ascii="Verdana" w:hAnsi="Verdana" w:cs="Arial"/>
                <w:b/>
                <w:sz w:val="20"/>
                <w:szCs w:val="20"/>
              </w:rPr>
              <w:t>Explanation of obedience –Social-psychological factors</w:t>
            </w:r>
          </w:p>
        </w:tc>
      </w:tr>
      <w:tr w:rsidR="00974A94" w:rsidTr="00974A94">
        <w:tc>
          <w:tcPr>
            <w:tcW w:w="3560" w:type="dxa"/>
          </w:tcPr>
          <w:p w:rsidR="00974A94" w:rsidRPr="00974A94" w:rsidRDefault="00974A94">
            <w:pPr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974A94">
              <w:rPr>
                <w:rFonts w:ascii="Verdana" w:hAnsi="Verdana" w:cs="Arial"/>
                <w:b/>
                <w:sz w:val="24"/>
                <w:szCs w:val="24"/>
              </w:rPr>
              <w:t>Agentic</w:t>
            </w:r>
            <w:proofErr w:type="spellEnd"/>
            <w:r w:rsidRPr="00974A94">
              <w:rPr>
                <w:rFonts w:ascii="Verdana" w:hAnsi="Verdana" w:cs="Arial"/>
                <w:b/>
                <w:sz w:val="24"/>
                <w:szCs w:val="24"/>
              </w:rPr>
              <w:t xml:space="preserve"> state</w:t>
            </w:r>
          </w:p>
          <w:p w:rsidR="00974A94" w:rsidRPr="00974A94" w:rsidRDefault="00974A9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evidence</w:t>
            </w:r>
          </w:p>
        </w:tc>
        <w:tc>
          <w:tcPr>
            <w:tcW w:w="3561" w:type="dxa"/>
          </w:tcPr>
          <w:p w:rsidR="00974A94" w:rsidRDefault="00974A9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</w:t>
            </w:r>
            <w:r w:rsidRPr="00974A94">
              <w:rPr>
                <w:rFonts w:ascii="Verdana" w:hAnsi="Verdana" w:cs="Arial"/>
                <w:b/>
                <w:sz w:val="20"/>
                <w:szCs w:val="20"/>
              </w:rPr>
              <w:t>Other evaluation</w:t>
            </w: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r w:rsidRPr="00974A94">
              <w:rPr>
                <w:rFonts w:ascii="Verdana" w:hAnsi="Verdana" w:cs="Arial"/>
                <w:sz w:val="20"/>
                <w:szCs w:val="20"/>
              </w:rPr>
              <w:t>Real world examples</w:t>
            </w: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Pr="00974A94" w:rsidRDefault="00974A9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4A94">
              <w:rPr>
                <w:rFonts w:ascii="Verdana" w:hAnsi="Verdana" w:cs="Arial"/>
                <w:sz w:val="20"/>
                <w:szCs w:val="20"/>
              </w:rPr>
              <w:t>Useful applications</w:t>
            </w:r>
          </w:p>
        </w:tc>
      </w:tr>
      <w:tr w:rsidR="00974A94" w:rsidTr="00974A94">
        <w:tc>
          <w:tcPr>
            <w:tcW w:w="3560" w:type="dxa"/>
          </w:tcPr>
          <w:p w:rsidR="00974A94" w:rsidRPr="00974A94" w:rsidRDefault="00974A9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74A94">
              <w:rPr>
                <w:rFonts w:ascii="Verdana" w:hAnsi="Verdana" w:cs="Arial"/>
                <w:b/>
                <w:sz w:val="24"/>
                <w:szCs w:val="24"/>
              </w:rPr>
              <w:t>Legitimate authority</w:t>
            </w: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Research evidence</w:t>
            </w:r>
          </w:p>
        </w:tc>
        <w:tc>
          <w:tcPr>
            <w:tcW w:w="3561" w:type="dxa"/>
          </w:tcPr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differences</w:t>
            </w:r>
          </w:p>
          <w:p w:rsidR="00974A94" w:rsidRDefault="00974A94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A strength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of legitimate authority is that it is a useful account of cultural differences in obedience. Many studies show that countries differ in the degree to which people are traditionally obedient to authority. In Australia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Kilham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(1974) found only a 16% obedience rate whereas in Germany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Mantell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(1971) found it to be 85%. This shows that in some cultures authority is more likely to be accepted as legitimate and entitled to demand obedience from individuals. So such supportive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finding increase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the validity of the explanation. </w:t>
            </w: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4"/>
    <w:rsid w:val="000A2F52"/>
    <w:rsid w:val="00163119"/>
    <w:rsid w:val="001B1013"/>
    <w:rsid w:val="009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4CBE-0A11-4688-9BD7-A9B47DBE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9255D951.dotm</Template>
  <TotalTime>11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2016-04-27T10:11:00Z</dcterms:created>
  <dcterms:modified xsi:type="dcterms:W3CDTF">2016-04-27T10:22:00Z</dcterms:modified>
</cp:coreProperties>
</file>