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EEF10" w14:textId="77777777" w:rsidR="007E3B01" w:rsidRPr="007E3B01" w:rsidRDefault="007E3B01">
      <w:pPr>
        <w:rPr>
          <w:b/>
          <w:sz w:val="48"/>
          <w:lang w:val="en-US"/>
        </w:rPr>
      </w:pPr>
      <w:r w:rsidRPr="007E3B01">
        <w:rPr>
          <w:b/>
          <w:sz w:val="48"/>
          <w:lang w:val="en-US"/>
        </w:rPr>
        <w:t>Forensics checklist</w:t>
      </w:r>
      <w:bookmarkStart w:id="0" w:name="_GoBack"/>
      <w:bookmarkEnd w:id="0"/>
    </w:p>
    <w:p w14:paraId="75360D8E" w14:textId="77777777" w:rsidR="007E3B01" w:rsidRDefault="007E3B01">
      <w:pPr>
        <w:rPr>
          <w:b/>
          <w:sz w:val="48"/>
          <w:lang w:val="en-US"/>
        </w:rPr>
      </w:pPr>
    </w:p>
    <w:p w14:paraId="35B2EB23" w14:textId="77777777" w:rsidR="007E3B01" w:rsidRDefault="007E3B01" w:rsidP="007E3B01">
      <w:pPr>
        <w:numPr>
          <w:ilvl w:val="0"/>
          <w:numId w:val="1"/>
        </w:numPr>
        <w:shd w:val="clear" w:color="auto" w:fill="FFFFFF"/>
        <w:spacing w:after="30" w:line="360" w:lineRule="atLeast"/>
        <w:ind w:left="0"/>
        <w:textAlignment w:val="baseline"/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</w:pPr>
      <w:r w:rsidRPr="007E3B01"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  <w:t>Offender profiling:</w:t>
      </w:r>
    </w:p>
    <w:p w14:paraId="2BF35C95" w14:textId="77777777" w:rsidR="007E3B01" w:rsidRDefault="007E3B01" w:rsidP="007E3B01">
      <w:pPr>
        <w:numPr>
          <w:ilvl w:val="1"/>
          <w:numId w:val="1"/>
        </w:numPr>
        <w:shd w:val="clear" w:color="auto" w:fill="FFFFFF"/>
        <w:spacing w:after="30" w:line="360" w:lineRule="atLeast"/>
        <w:textAlignment w:val="baseline"/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</w:pPr>
      <w:r w:rsidRPr="007E3B01"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  <w:t xml:space="preserve"> the top-down approach, including organised and disorganised types of offender; </w:t>
      </w:r>
    </w:p>
    <w:p w14:paraId="323382D1" w14:textId="77777777" w:rsidR="007E3B01" w:rsidRDefault="007E3B01" w:rsidP="007E3B01">
      <w:pPr>
        <w:numPr>
          <w:ilvl w:val="1"/>
          <w:numId w:val="1"/>
        </w:numPr>
        <w:shd w:val="clear" w:color="auto" w:fill="FFFFFF"/>
        <w:spacing w:after="30" w:line="360" w:lineRule="atLeast"/>
        <w:textAlignment w:val="baseline"/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</w:pPr>
      <w:r w:rsidRPr="007E3B01"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  <w:t>the bottom-up approach, including investigative Psychology; geographical profiling.</w:t>
      </w:r>
    </w:p>
    <w:p w14:paraId="7D2E58B9" w14:textId="77777777" w:rsidR="007E3B01" w:rsidRPr="007E3B01" w:rsidRDefault="007E3B01" w:rsidP="007E3B01">
      <w:pPr>
        <w:shd w:val="clear" w:color="auto" w:fill="FFFFFF"/>
        <w:spacing w:after="30" w:line="360" w:lineRule="atLeast"/>
        <w:ind w:left="1440"/>
        <w:textAlignment w:val="baseline"/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</w:pPr>
    </w:p>
    <w:p w14:paraId="760EB860" w14:textId="77777777" w:rsidR="007E3B01" w:rsidRDefault="007E3B01" w:rsidP="007E3B01">
      <w:pPr>
        <w:numPr>
          <w:ilvl w:val="0"/>
          <w:numId w:val="1"/>
        </w:numPr>
        <w:shd w:val="clear" w:color="auto" w:fill="FFFFFF"/>
        <w:spacing w:after="30" w:line="360" w:lineRule="atLeast"/>
        <w:ind w:left="0"/>
        <w:textAlignment w:val="baseline"/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</w:pPr>
      <w:r w:rsidRPr="007E3B01"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  <w:t>Biological explanations of offending behaviour:</w:t>
      </w:r>
    </w:p>
    <w:p w14:paraId="2DC42ECA" w14:textId="77777777" w:rsidR="007E3B01" w:rsidRDefault="007E3B01" w:rsidP="007E3B01">
      <w:pPr>
        <w:numPr>
          <w:ilvl w:val="1"/>
          <w:numId w:val="1"/>
        </w:numPr>
        <w:shd w:val="clear" w:color="auto" w:fill="FFFFFF"/>
        <w:spacing w:after="30" w:line="360" w:lineRule="atLeast"/>
        <w:textAlignment w:val="baseline"/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</w:pPr>
      <w:r w:rsidRPr="007E3B01"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  <w:t xml:space="preserve"> an historical approach (atavistic form); </w:t>
      </w:r>
    </w:p>
    <w:p w14:paraId="5A43D538" w14:textId="77777777" w:rsidR="007E3B01" w:rsidRDefault="007E3B01" w:rsidP="007E3B01">
      <w:pPr>
        <w:numPr>
          <w:ilvl w:val="1"/>
          <w:numId w:val="1"/>
        </w:numPr>
        <w:shd w:val="clear" w:color="auto" w:fill="FFFFFF"/>
        <w:spacing w:after="30" w:line="360" w:lineRule="atLeast"/>
        <w:textAlignment w:val="baseline"/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</w:pPr>
      <w:r w:rsidRPr="007E3B01"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  <w:t xml:space="preserve">genetics and </w:t>
      </w:r>
    </w:p>
    <w:p w14:paraId="7757BD60" w14:textId="77777777" w:rsidR="007E3B01" w:rsidRDefault="007E3B01" w:rsidP="007E3B01">
      <w:pPr>
        <w:numPr>
          <w:ilvl w:val="1"/>
          <w:numId w:val="1"/>
        </w:numPr>
        <w:shd w:val="clear" w:color="auto" w:fill="FFFFFF"/>
        <w:spacing w:after="30" w:line="360" w:lineRule="atLeast"/>
        <w:textAlignment w:val="baseline"/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</w:pPr>
      <w:r w:rsidRPr="007E3B01"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  <w:t>neural explanations.</w:t>
      </w:r>
    </w:p>
    <w:p w14:paraId="7C090BA0" w14:textId="77777777" w:rsidR="007E3B01" w:rsidRPr="007E3B01" w:rsidRDefault="007E3B01" w:rsidP="007E3B01">
      <w:pPr>
        <w:shd w:val="clear" w:color="auto" w:fill="FFFFFF"/>
        <w:spacing w:after="30" w:line="360" w:lineRule="atLeast"/>
        <w:ind w:left="1440"/>
        <w:textAlignment w:val="baseline"/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</w:pPr>
    </w:p>
    <w:p w14:paraId="020FEDCB" w14:textId="77777777" w:rsidR="007E3B01" w:rsidRDefault="007E3B01" w:rsidP="007E3B01">
      <w:pPr>
        <w:numPr>
          <w:ilvl w:val="0"/>
          <w:numId w:val="1"/>
        </w:numPr>
        <w:shd w:val="clear" w:color="auto" w:fill="FFFFFF"/>
        <w:spacing w:after="30" w:line="360" w:lineRule="atLeast"/>
        <w:ind w:left="0"/>
        <w:textAlignment w:val="baseline"/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</w:pPr>
      <w:r w:rsidRPr="007E3B01"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  <w:t xml:space="preserve">Psychological explanations of offending behaviour: </w:t>
      </w:r>
    </w:p>
    <w:p w14:paraId="3822312E" w14:textId="77777777" w:rsidR="007E3B01" w:rsidRDefault="007E3B01" w:rsidP="007E3B01">
      <w:pPr>
        <w:numPr>
          <w:ilvl w:val="1"/>
          <w:numId w:val="1"/>
        </w:numPr>
        <w:shd w:val="clear" w:color="auto" w:fill="FFFFFF"/>
        <w:spacing w:after="30" w:line="360" w:lineRule="atLeast"/>
        <w:textAlignment w:val="baseline"/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</w:pPr>
      <w:r w:rsidRPr="007E3B01"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  <w:t xml:space="preserve">Eysenck’s theory of the criminal personality; </w:t>
      </w:r>
    </w:p>
    <w:p w14:paraId="12C5808A" w14:textId="77777777" w:rsidR="007E3B01" w:rsidRDefault="007E3B01" w:rsidP="007E3B01">
      <w:pPr>
        <w:numPr>
          <w:ilvl w:val="1"/>
          <w:numId w:val="1"/>
        </w:numPr>
        <w:shd w:val="clear" w:color="auto" w:fill="FFFFFF"/>
        <w:spacing w:after="30" w:line="360" w:lineRule="atLeast"/>
        <w:textAlignment w:val="baseline"/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</w:pPr>
      <w:r w:rsidRPr="007E3B01"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  <w:t xml:space="preserve">cognitive explanations; level of moral reasoning and cognitive distortions, </w:t>
      </w:r>
    </w:p>
    <w:p w14:paraId="3DE0FBE9" w14:textId="77777777" w:rsidR="007E3B01" w:rsidRDefault="007E3B01" w:rsidP="007E3B01">
      <w:pPr>
        <w:numPr>
          <w:ilvl w:val="1"/>
          <w:numId w:val="1"/>
        </w:numPr>
        <w:shd w:val="clear" w:color="auto" w:fill="FFFFFF"/>
        <w:spacing w:after="30" w:line="360" w:lineRule="atLeast"/>
        <w:textAlignment w:val="baseline"/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</w:pPr>
      <w:r w:rsidRPr="007E3B01"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  <w:t xml:space="preserve">including hostile attribution bias and </w:t>
      </w:r>
      <w:proofErr w:type="spellStart"/>
      <w:r w:rsidRPr="007E3B01"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  <w:t>minimalisation</w:t>
      </w:r>
      <w:proofErr w:type="spellEnd"/>
      <w:r w:rsidRPr="007E3B01"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  <w:t>;</w:t>
      </w:r>
    </w:p>
    <w:p w14:paraId="7B2CE1F2" w14:textId="77777777" w:rsidR="007E3B01" w:rsidRDefault="007E3B01" w:rsidP="007E3B01">
      <w:pPr>
        <w:numPr>
          <w:ilvl w:val="1"/>
          <w:numId w:val="1"/>
        </w:numPr>
        <w:shd w:val="clear" w:color="auto" w:fill="FFFFFF"/>
        <w:spacing w:after="30" w:line="360" w:lineRule="atLeast"/>
        <w:textAlignment w:val="baseline"/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</w:pPr>
      <w:r w:rsidRPr="007E3B01"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  <w:t xml:space="preserve"> differential association theory; </w:t>
      </w:r>
    </w:p>
    <w:p w14:paraId="03E50BFC" w14:textId="77777777" w:rsidR="007E3B01" w:rsidRDefault="007E3B01" w:rsidP="007E3B01">
      <w:pPr>
        <w:numPr>
          <w:ilvl w:val="1"/>
          <w:numId w:val="1"/>
        </w:numPr>
        <w:shd w:val="clear" w:color="auto" w:fill="FFFFFF"/>
        <w:spacing w:after="30" w:line="360" w:lineRule="atLeast"/>
        <w:textAlignment w:val="baseline"/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</w:pPr>
      <w:r w:rsidRPr="007E3B01"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  <w:t>psychodynamic explanations.</w:t>
      </w:r>
    </w:p>
    <w:p w14:paraId="05097AD2" w14:textId="77777777" w:rsidR="007E3B01" w:rsidRPr="007E3B01" w:rsidRDefault="007E3B01" w:rsidP="007E3B01">
      <w:pPr>
        <w:shd w:val="clear" w:color="auto" w:fill="FFFFFF"/>
        <w:spacing w:after="30" w:line="360" w:lineRule="atLeast"/>
        <w:ind w:left="1440"/>
        <w:textAlignment w:val="baseline"/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</w:pPr>
    </w:p>
    <w:p w14:paraId="57B98D93" w14:textId="77777777" w:rsidR="007E3B01" w:rsidRDefault="007E3B01" w:rsidP="007E3B01">
      <w:pPr>
        <w:numPr>
          <w:ilvl w:val="0"/>
          <w:numId w:val="1"/>
        </w:numPr>
        <w:shd w:val="clear" w:color="auto" w:fill="FFFFFF"/>
        <w:spacing w:after="30" w:line="360" w:lineRule="atLeast"/>
        <w:ind w:left="0"/>
        <w:textAlignment w:val="baseline"/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</w:pPr>
      <w:r w:rsidRPr="007E3B01"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  <w:t>Dealing with offending behaviour:</w:t>
      </w:r>
    </w:p>
    <w:p w14:paraId="04791E97" w14:textId="77777777" w:rsidR="007E3B01" w:rsidRDefault="007E3B01" w:rsidP="007E3B01">
      <w:pPr>
        <w:numPr>
          <w:ilvl w:val="1"/>
          <w:numId w:val="1"/>
        </w:numPr>
        <w:shd w:val="clear" w:color="auto" w:fill="FFFFFF"/>
        <w:spacing w:after="30" w:line="360" w:lineRule="atLeast"/>
        <w:textAlignment w:val="baseline"/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</w:pPr>
      <w:r w:rsidRPr="007E3B01"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  <w:t xml:space="preserve"> the aims of custodial sentencing</w:t>
      </w:r>
    </w:p>
    <w:p w14:paraId="359746B2" w14:textId="77777777" w:rsidR="007E3B01" w:rsidRDefault="007E3B01" w:rsidP="007E3B01">
      <w:pPr>
        <w:numPr>
          <w:ilvl w:val="1"/>
          <w:numId w:val="1"/>
        </w:numPr>
        <w:shd w:val="clear" w:color="auto" w:fill="FFFFFF"/>
        <w:spacing w:after="30" w:line="360" w:lineRule="atLeast"/>
        <w:textAlignment w:val="baseline"/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</w:pPr>
      <w:r w:rsidRPr="007E3B01"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  <w:t xml:space="preserve">psychological effects of custodial sentencing. </w:t>
      </w:r>
    </w:p>
    <w:p w14:paraId="077FEB37" w14:textId="77777777" w:rsidR="007E3B01" w:rsidRDefault="007E3B01" w:rsidP="007E3B01">
      <w:pPr>
        <w:numPr>
          <w:ilvl w:val="1"/>
          <w:numId w:val="1"/>
        </w:numPr>
        <w:shd w:val="clear" w:color="auto" w:fill="FFFFFF"/>
        <w:spacing w:after="30" w:line="360" w:lineRule="atLeast"/>
        <w:textAlignment w:val="baseline"/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</w:pPr>
      <w:r w:rsidRPr="007E3B01"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  <w:t xml:space="preserve">Recidivism. </w:t>
      </w:r>
    </w:p>
    <w:p w14:paraId="516F5A92" w14:textId="77777777" w:rsidR="007E3B01" w:rsidRDefault="007E3B01" w:rsidP="007E3B01">
      <w:pPr>
        <w:numPr>
          <w:ilvl w:val="1"/>
          <w:numId w:val="1"/>
        </w:numPr>
        <w:shd w:val="clear" w:color="auto" w:fill="FFFFFF"/>
        <w:spacing w:after="30" w:line="360" w:lineRule="atLeast"/>
        <w:textAlignment w:val="baseline"/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</w:pPr>
      <w:r w:rsidRPr="007E3B01"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  <w:t xml:space="preserve">Behaviour modification in custody. </w:t>
      </w:r>
    </w:p>
    <w:p w14:paraId="37F278B8" w14:textId="77777777" w:rsidR="007E3B01" w:rsidRDefault="007E3B01" w:rsidP="007E3B01">
      <w:pPr>
        <w:numPr>
          <w:ilvl w:val="1"/>
          <w:numId w:val="1"/>
        </w:numPr>
        <w:shd w:val="clear" w:color="auto" w:fill="FFFFFF"/>
        <w:spacing w:after="30" w:line="360" w:lineRule="atLeast"/>
        <w:textAlignment w:val="baseline"/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</w:pPr>
      <w:r w:rsidRPr="007E3B01"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  <w:t xml:space="preserve">Anger management and </w:t>
      </w:r>
    </w:p>
    <w:p w14:paraId="6C0DF0F9" w14:textId="77777777" w:rsidR="007E3B01" w:rsidRPr="007E3B01" w:rsidRDefault="007E3B01" w:rsidP="007E3B01">
      <w:pPr>
        <w:numPr>
          <w:ilvl w:val="1"/>
          <w:numId w:val="1"/>
        </w:numPr>
        <w:shd w:val="clear" w:color="auto" w:fill="FFFFFF"/>
        <w:spacing w:after="30" w:line="360" w:lineRule="atLeast"/>
        <w:textAlignment w:val="baseline"/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</w:pPr>
      <w:r w:rsidRPr="007E3B01">
        <w:rPr>
          <w:rFonts w:ascii="Helvetica" w:eastAsia="Times New Roman" w:hAnsi="Helvetica" w:cs="Helvetica"/>
          <w:color w:val="4C4C4B"/>
          <w:sz w:val="20"/>
          <w:szCs w:val="20"/>
          <w:lang w:eastAsia="en-GB"/>
        </w:rPr>
        <w:t>restorative justice programmes.</w:t>
      </w:r>
    </w:p>
    <w:p w14:paraId="6DE28142" w14:textId="77777777" w:rsidR="007E3B01" w:rsidRPr="007E3B01" w:rsidRDefault="007E3B01">
      <w:pPr>
        <w:rPr>
          <w:b/>
          <w:sz w:val="48"/>
          <w:lang w:val="en-US"/>
        </w:rPr>
      </w:pPr>
    </w:p>
    <w:sectPr w:rsidR="007E3B01" w:rsidRPr="007E3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92B98"/>
    <w:multiLevelType w:val="multilevel"/>
    <w:tmpl w:val="5918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01"/>
    <w:rsid w:val="00165864"/>
    <w:rsid w:val="004240D5"/>
    <w:rsid w:val="007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2860E"/>
  <w15:chartTrackingRefBased/>
  <w15:docId w15:val="{76E129B9-E5F8-40AF-9520-7A8EE679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EE6ABF5CAEE4B819B043774AA3BD1" ma:contentTypeVersion="12" ma:contentTypeDescription="Create a new document." ma:contentTypeScope="" ma:versionID="89e9d08befef0e20eb9f88e6c6b9b513">
  <xsd:schema xmlns:xsd="http://www.w3.org/2001/XMLSchema" xmlns:xs="http://www.w3.org/2001/XMLSchema" xmlns:p="http://schemas.microsoft.com/office/2006/metadata/properties" xmlns:ns3="14a42c82-fae1-45e9-99f6-83a4e21c4add" xmlns:ns4="724600d7-7d4d-416c-ae7e-02b76e683860" targetNamespace="http://schemas.microsoft.com/office/2006/metadata/properties" ma:root="true" ma:fieldsID="a2e90e0b1b2686c87a0fc4950c2b71f8" ns3:_="" ns4:_="">
    <xsd:import namespace="14a42c82-fae1-45e9-99f6-83a4e21c4add"/>
    <xsd:import namespace="724600d7-7d4d-416c-ae7e-02b76e6838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42c82-fae1-45e9-99f6-83a4e21c4a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600d7-7d4d-416c-ae7e-02b76e683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07A81F-95A0-4729-B266-68AD42C79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42c82-fae1-45e9-99f6-83a4e21c4add"/>
    <ds:schemaRef ds:uri="724600d7-7d4d-416c-ae7e-02b76e683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7F725-FFEA-4872-A1DD-43CE46F78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C2603-EFFA-4D46-BD44-616242BE8D3C}">
  <ds:schemaRefs>
    <ds:schemaRef ds:uri="http://purl.org/dc/elements/1.1/"/>
    <ds:schemaRef ds:uri="http://purl.org/dc/dcmitype/"/>
    <ds:schemaRef ds:uri="http://schemas.openxmlformats.org/package/2006/metadata/core-properties"/>
    <ds:schemaRef ds:uri="14a42c82-fae1-45e9-99f6-83a4e21c4add"/>
    <ds:schemaRef ds:uri="724600d7-7d4d-416c-ae7e-02b76e683860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Griffin</dc:creator>
  <cp:keywords/>
  <dc:description/>
  <cp:lastModifiedBy>Rebeca Griffin</cp:lastModifiedBy>
  <cp:revision>1</cp:revision>
  <dcterms:created xsi:type="dcterms:W3CDTF">2021-03-24T16:17:00Z</dcterms:created>
  <dcterms:modified xsi:type="dcterms:W3CDTF">2021-03-24T16:20:00Z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0x010100DE5EE6ABF5CAEE4B819B043774AA3BD1</vt:lpwstr>
  </property>
</Properties>
</file>