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3539"/>
        <w:gridCol w:w="3452"/>
      </w:tblGrid>
      <w:tr w:rsidR="00A26A47" w:rsidTr="00BD2834">
        <w:trPr>
          <w:trHeight w:val="842"/>
        </w:trPr>
        <w:tc>
          <w:tcPr>
            <w:tcW w:w="3465" w:type="dxa"/>
          </w:tcPr>
          <w:p w:rsidR="00A26A47" w:rsidRPr="007B7973" w:rsidRDefault="00BD2834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Attachment scores based on a “love Quiz”</w:t>
            </w:r>
          </w:p>
        </w:tc>
        <w:tc>
          <w:tcPr>
            <w:tcW w:w="3539" w:type="dxa"/>
          </w:tcPr>
          <w:p w:rsidR="00A26A47" w:rsidRPr="007B7973" w:rsidRDefault="00BD2834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Peoples weight at different times of the day</w:t>
            </w:r>
          </w:p>
        </w:tc>
        <w:tc>
          <w:tcPr>
            <w:tcW w:w="3452" w:type="dxa"/>
          </w:tcPr>
          <w:p w:rsidR="00A26A47" w:rsidRPr="007B7973" w:rsidRDefault="00360AF9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Age of those showing separation anxiety</w:t>
            </w:r>
          </w:p>
        </w:tc>
      </w:tr>
      <w:tr w:rsidR="00A26A47" w:rsidTr="00BD2834">
        <w:trPr>
          <w:trHeight w:val="1347"/>
        </w:trPr>
        <w:tc>
          <w:tcPr>
            <w:tcW w:w="3465" w:type="dxa"/>
          </w:tcPr>
          <w:p w:rsidR="00A26A47" w:rsidRPr="007B7973" w:rsidRDefault="00BD2834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Rating of enjoyment of Psychology class from 1-10</w:t>
            </w:r>
          </w:p>
        </w:tc>
        <w:tc>
          <w:tcPr>
            <w:tcW w:w="3539" w:type="dxa"/>
          </w:tcPr>
          <w:p w:rsidR="00A26A47" w:rsidRPr="007B7973" w:rsidRDefault="00BD2834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The temperature of participants before and after watching a horror film</w:t>
            </w:r>
          </w:p>
        </w:tc>
        <w:tc>
          <w:tcPr>
            <w:tcW w:w="3452" w:type="dxa"/>
          </w:tcPr>
          <w:p w:rsidR="00A26A47" w:rsidRPr="007B7973" w:rsidRDefault="00360AF9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Anger scores before and after therapy</w:t>
            </w:r>
          </w:p>
        </w:tc>
      </w:tr>
      <w:tr w:rsidR="00A26A47" w:rsidTr="00BD2834">
        <w:trPr>
          <w:trHeight w:val="898"/>
        </w:trPr>
        <w:tc>
          <w:tcPr>
            <w:tcW w:w="3465" w:type="dxa"/>
          </w:tcPr>
          <w:p w:rsidR="00A26A47" w:rsidRPr="007B7973" w:rsidRDefault="00360AF9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Frequencies of Introverts and Extroverts who would/would not feel awkward on a nudist beach</w:t>
            </w:r>
          </w:p>
        </w:tc>
        <w:tc>
          <w:tcPr>
            <w:tcW w:w="3539" w:type="dxa"/>
          </w:tcPr>
          <w:p w:rsidR="00A26A47" w:rsidRPr="007B7973" w:rsidRDefault="00360AF9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People’s choice of music genre</w:t>
            </w:r>
          </w:p>
        </w:tc>
        <w:tc>
          <w:tcPr>
            <w:tcW w:w="3452" w:type="dxa"/>
          </w:tcPr>
          <w:p w:rsidR="00A26A47" w:rsidRPr="007B7973" w:rsidRDefault="00BD2834" w:rsidP="009A17C1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Participants sense of self worth</w:t>
            </w:r>
          </w:p>
        </w:tc>
      </w:tr>
      <w:tr w:rsidR="00BD2834" w:rsidTr="00BD2834">
        <w:trPr>
          <w:trHeight w:val="1291"/>
        </w:trPr>
        <w:tc>
          <w:tcPr>
            <w:tcW w:w="3465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>
              <w:rPr>
                <w:rFonts w:ascii="Verdana" w:hAnsi="Verdana" w:cs="Arial"/>
                <w:sz w:val="32"/>
                <w:szCs w:val="20"/>
              </w:rPr>
              <w:t>Time taken to complete preparation</w:t>
            </w:r>
            <w:r w:rsidRPr="007B7973">
              <w:rPr>
                <w:rFonts w:ascii="Verdana" w:hAnsi="Verdana" w:cs="Arial"/>
                <w:sz w:val="32"/>
                <w:szCs w:val="20"/>
              </w:rPr>
              <w:t xml:space="preserve"> homework</w:t>
            </w:r>
          </w:p>
        </w:tc>
        <w:tc>
          <w:tcPr>
            <w:tcW w:w="3539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Teacher’s ranking of students test scores</w:t>
            </w:r>
          </w:p>
        </w:tc>
        <w:tc>
          <w:tcPr>
            <w:tcW w:w="3452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Students reactions to aversive stimuli using a heart rate monitor</w:t>
            </w:r>
            <w:bookmarkStart w:id="0" w:name="_GoBack"/>
            <w:bookmarkEnd w:id="0"/>
          </w:p>
        </w:tc>
      </w:tr>
      <w:tr w:rsidR="00BD2834" w:rsidTr="00BD2834">
        <w:trPr>
          <w:trHeight w:val="1347"/>
        </w:trPr>
        <w:tc>
          <w:tcPr>
            <w:tcW w:w="3465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A Set of medical records classifying patients as chronic, acute or unclassified</w:t>
            </w:r>
          </w:p>
        </w:tc>
        <w:tc>
          <w:tcPr>
            <w:tcW w:w="3539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The size of a cats pupil before and after being fed</w:t>
            </w:r>
          </w:p>
        </w:tc>
        <w:tc>
          <w:tcPr>
            <w:tcW w:w="3452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Number of observed participants littering</w:t>
            </w:r>
          </w:p>
        </w:tc>
      </w:tr>
      <w:tr w:rsidR="00BD2834" w:rsidTr="00BD2834">
        <w:trPr>
          <w:trHeight w:val="1347"/>
        </w:trPr>
        <w:tc>
          <w:tcPr>
            <w:tcW w:w="3465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Anger scores on a questionnaire</w:t>
            </w:r>
          </w:p>
        </w:tc>
        <w:tc>
          <w:tcPr>
            <w:tcW w:w="3539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Time taken to sort cards into categories</w:t>
            </w:r>
          </w:p>
        </w:tc>
        <w:tc>
          <w:tcPr>
            <w:tcW w:w="3452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Schizophrenic participants state how likely they would be to attend a job interview from 1-7</w:t>
            </w:r>
          </w:p>
        </w:tc>
      </w:tr>
      <w:tr w:rsidR="00BD2834" w:rsidTr="00BD2834">
        <w:trPr>
          <w:trHeight w:val="1796"/>
        </w:trPr>
        <w:tc>
          <w:tcPr>
            <w:tcW w:w="3465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Reaction times</w:t>
            </w:r>
          </w:p>
        </w:tc>
        <w:tc>
          <w:tcPr>
            <w:tcW w:w="3539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The Block a Student is in for Psychology</w:t>
            </w:r>
          </w:p>
        </w:tc>
        <w:tc>
          <w:tcPr>
            <w:tcW w:w="3452" w:type="dxa"/>
          </w:tcPr>
          <w:p w:rsidR="00BD2834" w:rsidRPr="007B7973" w:rsidRDefault="00BD2834" w:rsidP="00BD2834">
            <w:pPr>
              <w:rPr>
                <w:rFonts w:ascii="Verdana" w:hAnsi="Verdana" w:cs="Arial"/>
                <w:sz w:val="32"/>
                <w:szCs w:val="20"/>
              </w:rPr>
            </w:pPr>
            <w:r w:rsidRPr="007B7973">
              <w:rPr>
                <w:rFonts w:ascii="Verdana" w:hAnsi="Verdana" w:cs="Arial"/>
                <w:sz w:val="32"/>
                <w:szCs w:val="20"/>
              </w:rPr>
              <w:t>Based on interviews with psychologists participants are rated how likely they would be to stereotype out of 100</w:t>
            </w: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7"/>
    <w:rsid w:val="000A2F52"/>
    <w:rsid w:val="00163119"/>
    <w:rsid w:val="001B1013"/>
    <w:rsid w:val="00360AF9"/>
    <w:rsid w:val="00A26A47"/>
    <w:rsid w:val="00B055A9"/>
    <w:rsid w:val="00B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3791"/>
  <w15:chartTrackingRefBased/>
  <w15:docId w15:val="{7AB1D129-9A91-4AAD-962F-5103FB7A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42AD-8979-4227-947B-9079B77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3</cp:revision>
  <dcterms:created xsi:type="dcterms:W3CDTF">2019-05-09T10:12:00Z</dcterms:created>
  <dcterms:modified xsi:type="dcterms:W3CDTF">2019-05-09T10:21:00Z</dcterms:modified>
</cp:coreProperties>
</file>