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9" w:rsidRPr="006B2C1F" w:rsidRDefault="006B2C1F" w:rsidP="006B2C1F">
      <w:pPr>
        <w:jc w:val="center"/>
        <w:rPr>
          <w:rFonts w:ascii="Roboto" w:hAnsi="Roboto" w:cs="Arial"/>
          <w:b/>
          <w:sz w:val="20"/>
          <w:szCs w:val="20"/>
        </w:rPr>
      </w:pPr>
      <w:r w:rsidRPr="006B2C1F">
        <w:rPr>
          <w:rFonts w:ascii="Roboto" w:hAnsi="Roboto" w:cs="Arial"/>
          <w:b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B91CB9F" wp14:editId="332A0396">
                <wp:simplePos x="0" y="0"/>
                <wp:positionH relativeFrom="column">
                  <wp:posOffset>3695700</wp:posOffset>
                </wp:positionH>
                <wp:positionV relativeFrom="paragraph">
                  <wp:posOffset>352425</wp:posOffset>
                </wp:positionV>
                <wp:extent cx="3200400" cy="2428875"/>
                <wp:effectExtent l="0" t="0" r="19050" b="2857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B2C1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Bussey</w:t>
                            </w:r>
                            <w:proofErr w:type="spellEnd"/>
                            <w:r w:rsidRPr="006B2C1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and Bandura (1992)</w:t>
                            </w: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Found that children as young as </w:t>
                            </w:r>
                            <w:proofErr w:type="gramStart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reported ‘feeling good’ about playing with gender appropriate toys and ‘feeling bad’ doing the opposite. </w:t>
                            </w: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This supports Constancy / Schema / both theory ….</w:t>
                            </w:r>
                          </w:p>
                          <w:p w:rsidR="00BA38CA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A38CA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Can this also be used</w:t>
                            </w:r>
                            <w:proofErr w:type="gramEnd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to challenge GCT /GST?</w:t>
                            </w: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1CB9F" id="Rectangle 5" o:spid="_x0000_s1026" style="position:absolute;left:0;text-align:left;margin-left:291pt;margin-top:27.75pt;width:252pt;height:19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">
                <v:textbox inset="2.53958mm,1.2694mm,2.53958mm,1.2694mm">
                  <w:txbxContent>
                    <w:p w:rsidR="00BA38CA" w:rsidRPr="006B2C1F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B2C1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Bussey</w:t>
                      </w:r>
                      <w:proofErr w:type="spellEnd"/>
                      <w:r w:rsidRPr="006B2C1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and Bandura (1992)</w:t>
                      </w: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Found that children as young as </w:t>
                      </w:r>
                      <w:proofErr w:type="gramStart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4</w:t>
                      </w:r>
                      <w:proofErr w:type="gramEnd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reported ‘feeling good’ about playing with gender appropriate toys and ‘feeling bad’ doing the opposite. </w:t>
                      </w: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This supports Constancy / Schema / both theory ….</w:t>
                      </w:r>
                    </w:p>
                    <w:p w:rsidR="00BA38CA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A38CA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Can this also be used</w:t>
                      </w:r>
                      <w:proofErr w:type="gramEnd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to challenge GCT /GST?</w:t>
                      </w: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6B2C1F">
        <w:rPr>
          <w:rFonts w:ascii="Roboto" w:hAnsi="Roboto" w:cs="Arial"/>
          <w:b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F64D16" wp14:editId="6DD85A18">
                <wp:simplePos x="0" y="0"/>
                <wp:positionH relativeFrom="column">
                  <wp:posOffset>-142875</wp:posOffset>
                </wp:positionH>
                <wp:positionV relativeFrom="paragraph">
                  <wp:posOffset>352425</wp:posOffset>
                </wp:positionV>
                <wp:extent cx="3686175" cy="2438400"/>
                <wp:effectExtent l="0" t="0" r="28575" b="1905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Martin and Little</w:t>
                            </w:r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found that pre-school children 3-5 </w:t>
                            </w:r>
                            <w:proofErr w:type="spellStart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yrs</w:t>
                            </w:r>
                            <w:proofErr w:type="spellEnd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had only very basic gender understanding (no gender constancy or stability) and yet that had strong gender stereotypes about what boys and girls </w:t>
                            </w:r>
                            <w:proofErr w:type="gramStart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were permitted</w:t>
                            </w:r>
                            <w:proofErr w:type="gramEnd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to do, also they had strong preferences for peers and toys.</w:t>
                            </w: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This supports constancy / schema</w:t>
                            </w:r>
                            <w:proofErr w:type="gramStart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/  both</w:t>
                            </w:r>
                            <w:proofErr w:type="gramEnd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:rsidR="00BA38CA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Can this also be used</w:t>
                            </w:r>
                            <w:proofErr w:type="gramEnd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to challenge GCT /GST?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64D16" id="Rectangle 8" o:spid="_x0000_s1027" style="position:absolute;left:0;text-align:left;margin-left:-11.25pt;margin-top:27.75pt;width:290.25pt;height:19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">
                <v:textbox inset="2.53958mm,1.2694mm,2.53958mm,1.2694mm">
                  <w:txbxContent>
                    <w:p w:rsidR="00BA38CA" w:rsidRPr="006B2C1F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Martin and Little</w:t>
                      </w:r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found that pre-school children 3-5 </w:t>
                      </w:r>
                      <w:proofErr w:type="spellStart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yrs</w:t>
                      </w:r>
                      <w:proofErr w:type="spellEnd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had only very basic gender understanding (no gender constancy or stability) and yet that had strong gender stereotypes about what boys and girls </w:t>
                      </w:r>
                      <w:proofErr w:type="gramStart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were permitted</w:t>
                      </w:r>
                      <w:proofErr w:type="gramEnd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to do, also they had strong preferences for peers and toys.</w:t>
                      </w: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This supports constancy / schema</w:t>
                      </w:r>
                      <w:proofErr w:type="gramStart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/  both</w:t>
                      </w:r>
                      <w:proofErr w:type="gramEnd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…</w:t>
                      </w:r>
                    </w:p>
                    <w:p w:rsidR="00BA38CA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Can this also be used</w:t>
                      </w:r>
                      <w:proofErr w:type="gramEnd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to challenge GCT /GST?</w:t>
                      </w:r>
                    </w:p>
                  </w:txbxContent>
                </v:textbox>
              </v:rect>
            </w:pict>
          </mc:Fallback>
        </mc:AlternateContent>
      </w:r>
      <w:r w:rsidRPr="006B2C1F">
        <w:rPr>
          <w:rFonts w:ascii="Roboto" w:hAnsi="Roboto" w:cs="Arial"/>
          <w:b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95C28C" wp14:editId="52AC9991">
                <wp:simplePos x="0" y="0"/>
                <wp:positionH relativeFrom="column">
                  <wp:posOffset>-180976</wp:posOffset>
                </wp:positionH>
                <wp:positionV relativeFrom="paragraph">
                  <wp:posOffset>8134350</wp:posOffset>
                </wp:positionV>
                <wp:extent cx="7115175" cy="2000250"/>
                <wp:effectExtent l="0" t="0" r="28575" b="1905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B2C1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Slaby</w:t>
                            </w:r>
                            <w:proofErr w:type="spellEnd"/>
                            <w:r w:rsidRPr="006B2C1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and Frey </w:t>
                            </w: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Asked children a different set of questions to assess constancy and stability such as “If you played football would you be a boy or a girl?” and “Could you be a boy/girl if you wanted to be?</w:t>
                            </w:r>
                            <w:proofErr w:type="gramStart"/>
                            <w:r w:rsidRPr="006B2C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”.</w:t>
                            </w:r>
                            <w:proofErr w:type="gramEnd"/>
                            <w:r w:rsidRPr="006B2C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They found that children who scored high on </w:t>
                            </w:r>
                            <w:r w:rsidRPr="006B2C1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both stability and constancy</w:t>
                            </w:r>
                            <w:r w:rsidRPr="006B2C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showed greater interest in same-sex models. </w:t>
                            </w: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This supports Constancy / Schema / both theory ….</w:t>
                            </w:r>
                          </w:p>
                          <w:p w:rsidR="00BA38CA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Can this also be used</w:t>
                            </w:r>
                            <w:proofErr w:type="gramEnd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to challenge GCT /GST?</w:t>
                            </w: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5C28C" id="Rectangle 6" o:spid="_x0000_s1028" style="position:absolute;left:0;text-align:left;margin-left:-14.25pt;margin-top:640.5pt;width:560.25pt;height:15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">
                <v:textbox inset="2.53958mm,1.2694mm,2.53958mm,1.2694mm">
                  <w:txbxContent>
                    <w:p w:rsidR="00BA38CA" w:rsidRPr="006B2C1F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B2C1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Slaby</w:t>
                      </w:r>
                      <w:proofErr w:type="spellEnd"/>
                      <w:r w:rsidRPr="006B2C1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and Frey </w:t>
                      </w: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Asked children a different set of questions to assess constancy and stability such as “If you played football would you be a boy or a girl?” and “Could you be a boy/girl if you wanted to be?</w:t>
                      </w:r>
                      <w:proofErr w:type="gramStart"/>
                      <w:r w:rsidRPr="006B2C1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”.</w:t>
                      </w:r>
                      <w:proofErr w:type="gramEnd"/>
                      <w:r w:rsidRPr="006B2C1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They found that children who scored high on </w:t>
                      </w:r>
                      <w:r w:rsidRPr="006B2C1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both stability and constancy</w:t>
                      </w:r>
                      <w:r w:rsidRPr="006B2C1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showed greater interest in same-sex models. </w:t>
                      </w: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This supports Constancy / Schema / both theory ….</w:t>
                      </w:r>
                    </w:p>
                    <w:p w:rsidR="00BA38CA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Can this also be used</w:t>
                      </w:r>
                      <w:proofErr w:type="gramEnd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to challenge GCT /GST?</w:t>
                      </w: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6B2C1F">
        <w:rPr>
          <w:rFonts w:ascii="Roboto" w:hAnsi="Roboto" w:cs="Arial"/>
          <w:b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E28B95F" wp14:editId="3FFEF5D7">
                <wp:simplePos x="0" y="0"/>
                <wp:positionH relativeFrom="column">
                  <wp:posOffset>-171450</wp:posOffset>
                </wp:positionH>
                <wp:positionV relativeFrom="paragraph">
                  <wp:posOffset>2857500</wp:posOffset>
                </wp:positionV>
                <wp:extent cx="7105650" cy="1876425"/>
                <wp:effectExtent l="0" t="0" r="19050" b="2857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B2C1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Slaby</w:t>
                            </w:r>
                            <w:proofErr w:type="spellEnd"/>
                            <w:r w:rsidRPr="006B2C1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and Frey (1975):</w:t>
                            </w:r>
                            <w:r w:rsidRPr="006B2C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 asked children ages 2-5yrs, questions such as “Were you a little girl or a little boy when you were a baby?” and “When you grow up will you be a mummy or a daddy?</w:t>
                            </w:r>
                            <w:proofErr w:type="gramStart"/>
                            <w:r w:rsidRPr="006B2C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”.</w:t>
                            </w:r>
                            <w:proofErr w:type="gramEnd"/>
                            <w:r w:rsidRPr="006B2C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</w:t>
                            </w:r>
                            <w:r w:rsidRPr="006B2C1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below three </w:t>
                            </w:r>
                            <w:r w:rsidRPr="006B2C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were not able to give an appropriate </w:t>
                            </w:r>
                            <w:proofErr w:type="spellStart"/>
                            <w:r w:rsidRPr="006B2C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answer.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This supports Constancy / schema/ both theory</w:t>
                            </w:r>
                            <w:proofErr w:type="gramStart"/>
                            <w:r w:rsidRPr="006B2C1F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Can this also be used</w:t>
                            </w:r>
                            <w:proofErr w:type="gramEnd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to challenge GCT /GST?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8B95F" id="Rectangle 4" o:spid="_x0000_s1029" style="position:absolute;left:0;text-align:left;margin-left:-13.5pt;margin-top:225pt;width:559.5pt;height:147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">
                <v:textbox inset="2.53958mm,1.2694mm,2.53958mm,1.2694mm">
                  <w:txbxContent>
                    <w:p w:rsidR="00BA38CA" w:rsidRPr="006B2C1F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B2C1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Slaby</w:t>
                      </w:r>
                      <w:proofErr w:type="spellEnd"/>
                      <w:r w:rsidRPr="006B2C1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and Frey (1975):</w:t>
                      </w:r>
                      <w:r w:rsidRPr="006B2C1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 asked children ages 2-5yrs, questions such as “Were you a little girl or a little boy when you were a baby?” and “When you grow up will you be a mummy or a daddy?</w:t>
                      </w:r>
                      <w:proofErr w:type="gramStart"/>
                      <w:r w:rsidRPr="006B2C1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”.</w:t>
                      </w:r>
                      <w:proofErr w:type="gramEnd"/>
                      <w:r w:rsidRPr="006B2C1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</w:t>
                      </w:r>
                      <w:r w:rsidRPr="006B2C1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below three </w:t>
                      </w:r>
                      <w:r w:rsidRPr="006B2C1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were not able to give an appropriate </w:t>
                      </w:r>
                      <w:proofErr w:type="spellStart"/>
                      <w:r w:rsidRPr="006B2C1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answer.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p</w:t>
                      </w:r>
                      <w:bookmarkStart w:id="1" w:name="_GoBack"/>
                      <w:bookmarkEnd w:id="1"/>
                      <w:proofErr w:type="spellEnd"/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This supports Constancy / schema/ both theory</w:t>
                      </w:r>
                      <w:proofErr w:type="gramStart"/>
                      <w:r w:rsidRPr="006B2C1F"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……</w:t>
                      </w:r>
                      <w:proofErr w:type="gramEnd"/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Can this also be used</w:t>
                      </w:r>
                      <w:proofErr w:type="gramEnd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to challenge GCT /GST?</w:t>
                      </w:r>
                    </w:p>
                  </w:txbxContent>
                </v:textbox>
              </v:rect>
            </w:pict>
          </mc:Fallback>
        </mc:AlternateContent>
      </w:r>
      <w:r w:rsidRPr="006B2C1F">
        <w:rPr>
          <w:rFonts w:ascii="Roboto" w:hAnsi="Roboto" w:cs="Arial"/>
          <w:b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B70B43" wp14:editId="3E18A632">
                <wp:simplePos x="0" y="0"/>
                <wp:positionH relativeFrom="column">
                  <wp:posOffset>3829050</wp:posOffset>
                </wp:positionH>
                <wp:positionV relativeFrom="paragraph">
                  <wp:posOffset>4886325</wp:posOffset>
                </wp:positionV>
                <wp:extent cx="3143250" cy="3152775"/>
                <wp:effectExtent l="0" t="0" r="19050" b="2857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B2C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McConaghy</w:t>
                            </w:r>
                            <w:proofErr w:type="spellEnd"/>
                            <w:r w:rsidRPr="006B2C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(1979) found that when young children </w:t>
                            </w:r>
                            <w:proofErr w:type="gramStart"/>
                            <w:r w:rsidRPr="006B2C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were shown</w:t>
                            </w:r>
                            <w:proofErr w:type="gramEnd"/>
                            <w:r w:rsidRPr="006B2C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a line drawing of a doll where the male genitals were visible through the doll’s dress, children under the age of 5 judged the doll to be female because of its clothes.</w:t>
                            </w: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BA38CA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This supports constancy / Schema / both …</w:t>
                            </w:r>
                          </w:p>
                          <w:p w:rsidR="00BA38CA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A38CA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A38CA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Can this also be used</w:t>
                            </w:r>
                            <w:proofErr w:type="gramEnd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to challenge GCT /GST?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70B43" id="_x0000_s1030" style="position:absolute;left:0;text-align:left;margin-left:301.5pt;margin-top:384.75pt;width:247.5pt;height:24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">
                <v:textbox inset="2.53958mm,1.2694mm,2.53958mm,1.2694mm">
                  <w:txbxContent>
                    <w:p w:rsidR="00BA38CA" w:rsidRPr="006B2C1F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B2C1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McConaghy</w:t>
                      </w:r>
                      <w:proofErr w:type="spellEnd"/>
                      <w:r w:rsidRPr="006B2C1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(1979) found that when young children </w:t>
                      </w:r>
                      <w:proofErr w:type="gramStart"/>
                      <w:r w:rsidRPr="006B2C1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were shown</w:t>
                      </w:r>
                      <w:proofErr w:type="gramEnd"/>
                      <w:r w:rsidRPr="006B2C1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a line drawing of a doll where the male genitals were visible through the doll’s dress, children under the age of 5 judged the doll to be female because of its clothes.</w:t>
                      </w: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BA38CA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This supports constancy / Schema / both …</w:t>
                      </w:r>
                    </w:p>
                    <w:p w:rsidR="00BA38CA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BA38CA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BA38CA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0" w:afterAutospacing="0" w:line="273" w:lineRule="auto"/>
                        <w:rPr>
                          <w:sz w:val="20"/>
                          <w:szCs w:val="20"/>
                        </w:rPr>
                      </w:pP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Can this also be used</w:t>
                      </w:r>
                      <w:proofErr w:type="gramEnd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to challenge GCT /GST?</w:t>
                      </w:r>
                    </w:p>
                  </w:txbxContent>
                </v:textbox>
              </v:rect>
            </w:pict>
          </mc:Fallback>
        </mc:AlternateContent>
      </w:r>
      <w:r w:rsidRPr="006B2C1F">
        <w:rPr>
          <w:rFonts w:ascii="Roboto" w:hAnsi="Roboto" w:cs="Arial"/>
          <w:b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BA160" wp14:editId="02597CE2">
                <wp:simplePos x="0" y="0"/>
                <wp:positionH relativeFrom="column">
                  <wp:posOffset>-209550</wp:posOffset>
                </wp:positionH>
                <wp:positionV relativeFrom="paragraph">
                  <wp:posOffset>4876800</wp:posOffset>
                </wp:positionV>
                <wp:extent cx="3867150" cy="3162300"/>
                <wp:effectExtent l="0" t="0" r="19050" b="1905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Martin and Halverson </w:t>
                            </w:r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(1983) found that children under the age of 6 were more likely to remember photos of gender consistent behaviour (e.g. man dressed as a mechanic</w:t>
                            </w:r>
                            <w:proofErr w:type="gramStart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)  than</w:t>
                            </w:r>
                            <w:proofErr w:type="gramEnd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photographs of gender inconsistent behaviour (e.g. woman dressed as a mechanic). Also when asked to recall the image they tend to change the sex of the person if carrying out a gender inconsistent activities. </w:t>
                            </w: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This supports constancy / schema</w:t>
                            </w:r>
                            <w:proofErr w:type="gramStart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/  both</w:t>
                            </w:r>
                            <w:proofErr w:type="gramEnd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:rsidR="00BA38CA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A38CA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A38CA" w:rsidRPr="006B2C1F" w:rsidRDefault="00BA38CA" w:rsidP="006B2C1F">
                            <w:pPr>
                              <w:pStyle w:val="NormalWeb"/>
                              <w:spacing w:before="0" w:beforeAutospacing="0" w:after="200" w:afterAutospacing="0"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Can this also be used</w:t>
                            </w:r>
                            <w:proofErr w:type="gramEnd"/>
                            <w:r w:rsidRPr="006B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to challenge GCT /GST?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BA160" id="Rectangle 3" o:spid="_x0000_s1031" style="position:absolute;left:0;text-align:left;margin-left:-16.5pt;margin-top:384pt;width:304.5pt;height:24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">
                <v:textbox inset="2.53958mm,1.2694mm,2.53958mm,1.2694mm">
                  <w:txbxContent>
                    <w:p w:rsidR="00BA38CA" w:rsidRPr="006B2C1F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Martin and Halverson </w:t>
                      </w:r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(1983) found that children under the age of 6 were more likely to remember photos of gender consistent behaviour (e.g. man dressed as a mechanic</w:t>
                      </w:r>
                      <w:proofErr w:type="gramStart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)  than</w:t>
                      </w:r>
                      <w:proofErr w:type="gramEnd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photographs of gender inconsistent behaviour (e.g. woman dressed as a mechanic). Also when asked to recall the image they tend to change the sex of the person if carrying out a gender inconsistent activities. </w:t>
                      </w: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sz w:val="20"/>
                          <w:szCs w:val="20"/>
                        </w:rPr>
                      </w:pPr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This supports constancy / schema</w:t>
                      </w:r>
                      <w:proofErr w:type="gramStart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/  both</w:t>
                      </w:r>
                      <w:proofErr w:type="gramEnd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…</w:t>
                      </w:r>
                    </w:p>
                    <w:p w:rsidR="00BA38CA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A38CA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A38CA" w:rsidRPr="006B2C1F" w:rsidRDefault="00BA38CA" w:rsidP="006B2C1F">
                      <w:pPr>
                        <w:pStyle w:val="NormalWeb"/>
                        <w:spacing w:before="0" w:beforeAutospacing="0" w:after="200" w:afterAutospacing="0" w:line="273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Can this also be used</w:t>
                      </w:r>
                      <w:proofErr w:type="gramEnd"/>
                      <w:r w:rsidRPr="006B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to challenge GCT /GST?</w:t>
                      </w:r>
                    </w:p>
                  </w:txbxContent>
                </v:textbox>
              </v:rect>
            </w:pict>
          </mc:Fallback>
        </mc:AlternateContent>
      </w:r>
      <w:r w:rsidRPr="006B2C1F">
        <w:rPr>
          <w:rFonts w:ascii="Roboto" w:hAnsi="Roboto" w:cs="Arial"/>
          <w:b/>
          <w:sz w:val="24"/>
          <w:szCs w:val="20"/>
        </w:rPr>
        <w:t xml:space="preserve">Research evidence that </w:t>
      </w:r>
      <w:proofErr w:type="gramStart"/>
      <w:r w:rsidRPr="006B2C1F">
        <w:rPr>
          <w:rFonts w:ascii="Roboto" w:hAnsi="Roboto" w:cs="Arial"/>
          <w:b/>
          <w:sz w:val="24"/>
          <w:szCs w:val="20"/>
        </w:rPr>
        <w:t>can be used</w:t>
      </w:r>
      <w:proofErr w:type="gramEnd"/>
      <w:r w:rsidRPr="006B2C1F">
        <w:rPr>
          <w:rFonts w:ascii="Roboto" w:hAnsi="Roboto" w:cs="Arial"/>
          <w:b/>
          <w:sz w:val="24"/>
          <w:szCs w:val="20"/>
        </w:rPr>
        <w:t xml:space="preserve"> to evaluate both Constancy and Schema – but how?</w:t>
      </w:r>
    </w:p>
    <w:sectPr w:rsidR="00163119" w:rsidRPr="006B2C1F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1F"/>
    <w:rsid w:val="000A2F52"/>
    <w:rsid w:val="00163119"/>
    <w:rsid w:val="001B1013"/>
    <w:rsid w:val="006B2C1F"/>
    <w:rsid w:val="00B055A9"/>
    <w:rsid w:val="00BA38CA"/>
    <w:rsid w:val="00C84FFE"/>
    <w:rsid w:val="00D0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40D4"/>
  <w15:chartTrackingRefBased/>
  <w15:docId w15:val="{1F707791-E34B-48E1-B394-CCBCF5A8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C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127E-0FCD-484A-84DF-09FDDE4C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Griffin</dc:creator>
  <cp:keywords/>
  <dc:description/>
  <cp:lastModifiedBy>Rebeca Griffin</cp:lastModifiedBy>
  <cp:revision>2</cp:revision>
  <cp:lastPrinted>2019-02-12T18:33:00Z</cp:lastPrinted>
  <dcterms:created xsi:type="dcterms:W3CDTF">2019-02-12T17:13:00Z</dcterms:created>
  <dcterms:modified xsi:type="dcterms:W3CDTF">2019-02-13T14:22:00Z</dcterms:modified>
</cp:coreProperties>
</file>