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EE" w:rsidRPr="00251E3F" w:rsidRDefault="00251E3F">
      <w:pPr>
        <w:rPr>
          <w:b/>
          <w:lang w:val="en-US"/>
        </w:rPr>
      </w:pPr>
      <w:r w:rsidRPr="00251E3F">
        <w:rPr>
          <w:b/>
          <w:lang w:val="en-US"/>
        </w:rPr>
        <w:t>Schizophrenia checklist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589"/>
        <w:gridCol w:w="957"/>
        <w:gridCol w:w="1029"/>
        <w:gridCol w:w="1059"/>
        <w:gridCol w:w="1382"/>
      </w:tblGrid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Subtopics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Ao1-level 3</w:t>
            </w: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Ao3-</w:t>
            </w:r>
          </w:p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3</w:t>
            </w: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4</w:t>
            </w: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5</w:t>
            </w:r>
          </w:p>
        </w:tc>
      </w:tr>
      <w:tr w:rsidR="00251E3F" w:rsidRPr="00DB6B7F" w:rsidTr="00251E3F">
        <w:tc>
          <w:tcPr>
            <w:tcW w:w="4589" w:type="dxa"/>
          </w:tcPr>
          <w:p w:rsidR="00251E3F" w:rsidRPr="00251E3F" w:rsidRDefault="00251E3F" w:rsidP="00FD639E">
            <w:pPr>
              <w:pStyle w:val="Default"/>
              <w:spacing w:after="46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Classification of schizophrenia. Positive symptoms of schizophrenia, including hallucinations and delusions. Negative symptoms of schizophrenia, including speech poverty and avolition. 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687AD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  <w:bookmarkStart w:id="0" w:name="_GoBack"/>
            <w:bookmarkEnd w:id="0"/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Reliability and validity in diagnosis and classification of schizophrenia, including reference to co-morbidity, culture and gender bias and symptom overlap.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 xml:space="preserve">Biological explanations for schizophrenia: genetics 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Default="00251E3F" w:rsidP="00FD639E">
            <w:pPr>
              <w:pStyle w:val="Default"/>
              <w:spacing w:after="46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Biological explanations for schizophrenia:</w:t>
            </w: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neural correlates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Default="00251E3F" w:rsidP="00FD639E">
            <w:pPr>
              <w:pStyle w:val="Default"/>
              <w:spacing w:after="46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 xml:space="preserve">Biological explanations for schizophrenia: </w:t>
            </w: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dopamine hypothesis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 xml:space="preserve">Psychological explanations for schizophrenia: family dysfunction 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Default="00251E3F" w:rsidP="00FD639E">
            <w:pPr>
              <w:pStyle w:val="Default"/>
              <w:spacing w:after="46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Psychological explanations for schizophrenia: cognitive explanations, including dysfunctional thought processing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251E3F" w:rsidRDefault="00251E3F" w:rsidP="00251E3F">
            <w:pPr>
              <w:numPr>
                <w:ilvl w:val="0"/>
                <w:numId w:val="2"/>
              </w:numPr>
              <w:shd w:val="clear" w:color="auto" w:fill="FFFFFF"/>
              <w:spacing w:after="30" w:line="360" w:lineRule="atLeast"/>
              <w:ind w:left="0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251E3F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Drug therapy: typical and atypical antipsychotics.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 xml:space="preserve">Cognitive behaviour therapy 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amily therapy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Token economies as used in the management of schizophrenia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251E3F" w:rsidRPr="00DB6B7F" w:rsidTr="00251E3F">
        <w:tc>
          <w:tcPr>
            <w:tcW w:w="458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The importance of an interactionist approach in explaining and treating schizophrenia; the diathesis-stress mode</w:t>
            </w:r>
          </w:p>
        </w:tc>
        <w:tc>
          <w:tcPr>
            <w:tcW w:w="957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2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382" w:type="dxa"/>
          </w:tcPr>
          <w:p w:rsidR="00251E3F" w:rsidRPr="00DB6B7F" w:rsidRDefault="00251E3F" w:rsidP="00FD639E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</w:tbl>
    <w:p w:rsidR="00251E3F" w:rsidRPr="00251E3F" w:rsidRDefault="00251E3F">
      <w:pPr>
        <w:rPr>
          <w:lang w:val="en-US"/>
        </w:rPr>
      </w:pPr>
    </w:p>
    <w:sectPr w:rsidR="00251E3F" w:rsidRPr="00251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5E98"/>
    <w:multiLevelType w:val="multilevel"/>
    <w:tmpl w:val="499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6CF1"/>
    <w:multiLevelType w:val="multilevel"/>
    <w:tmpl w:val="354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C6"/>
    <w:rsid w:val="00251E3F"/>
    <w:rsid w:val="004F159B"/>
    <w:rsid w:val="00687ADF"/>
    <w:rsid w:val="00C33E39"/>
    <w:rsid w:val="00D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0EA1"/>
  <w15:chartTrackingRefBased/>
  <w15:docId w15:val="{72E91188-7983-45F5-A5AD-6042F06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>BHASVIC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Oliver</dc:creator>
  <cp:keywords/>
  <dc:description/>
  <cp:lastModifiedBy>Kelly Oliver</cp:lastModifiedBy>
  <cp:revision>3</cp:revision>
  <dcterms:created xsi:type="dcterms:W3CDTF">2021-01-25T07:59:00Z</dcterms:created>
  <dcterms:modified xsi:type="dcterms:W3CDTF">2021-01-25T08:06:00Z</dcterms:modified>
</cp:coreProperties>
</file>