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43"/>
        <w:tblW w:w="0" w:type="auto"/>
        <w:tblLook w:val="04A0" w:firstRow="1" w:lastRow="0" w:firstColumn="1" w:lastColumn="0" w:noHBand="0" w:noVBand="1"/>
      </w:tblPr>
      <w:tblGrid>
        <w:gridCol w:w="3560"/>
        <w:gridCol w:w="1651"/>
        <w:gridCol w:w="130"/>
        <w:gridCol w:w="1780"/>
        <w:gridCol w:w="3561"/>
      </w:tblGrid>
      <w:tr w:rsidR="002F568A" w:rsidTr="00710BBF">
        <w:tc>
          <w:tcPr>
            <w:tcW w:w="10682" w:type="dxa"/>
            <w:gridSpan w:val="5"/>
            <w:shd w:val="clear" w:color="auto" w:fill="000000" w:themeFill="text1"/>
          </w:tcPr>
          <w:p w:rsidR="002F568A" w:rsidRPr="00710BBF" w:rsidRDefault="002F568A" w:rsidP="002F568A">
            <w:pPr>
              <w:jc w:val="center"/>
              <w:rPr>
                <w:rFonts w:ascii="Verdana" w:hAnsi="Verdana" w:cs="Arial"/>
                <w:b/>
                <w:sz w:val="20"/>
                <w:szCs w:val="20"/>
              </w:rPr>
            </w:pPr>
            <w:r w:rsidRPr="00710BBF">
              <w:rPr>
                <w:rFonts w:ascii="Verdana" w:hAnsi="Verdana" w:cs="Arial"/>
                <w:b/>
                <w:sz w:val="20"/>
                <w:szCs w:val="20"/>
              </w:rPr>
              <w:t>Types of conformity</w:t>
            </w:r>
          </w:p>
        </w:tc>
      </w:tr>
      <w:tr w:rsidR="002F568A" w:rsidTr="002F568A">
        <w:tc>
          <w:tcPr>
            <w:tcW w:w="3560" w:type="dxa"/>
          </w:tcPr>
          <w:p w:rsidR="002F568A" w:rsidRDefault="002F568A" w:rsidP="002F568A">
            <w:pPr>
              <w:rPr>
                <w:rFonts w:ascii="Verdana" w:hAnsi="Verdana" w:cs="Arial"/>
                <w:sz w:val="20"/>
                <w:szCs w:val="20"/>
              </w:rPr>
            </w:pPr>
            <w:r>
              <w:rPr>
                <w:rFonts w:ascii="Verdana" w:hAnsi="Verdana" w:cs="Arial"/>
                <w:sz w:val="20"/>
                <w:szCs w:val="20"/>
              </w:rPr>
              <w:t xml:space="preserve">Compliance </w:t>
            </w:r>
          </w:p>
        </w:tc>
        <w:tc>
          <w:tcPr>
            <w:tcW w:w="3561" w:type="dxa"/>
            <w:gridSpan w:val="3"/>
          </w:tcPr>
          <w:p w:rsidR="002F568A" w:rsidRDefault="002F568A" w:rsidP="002F568A">
            <w:pPr>
              <w:rPr>
                <w:rFonts w:ascii="Verdana" w:hAnsi="Verdana" w:cs="Arial"/>
                <w:sz w:val="20"/>
                <w:szCs w:val="20"/>
              </w:rPr>
            </w:pPr>
            <w:r>
              <w:rPr>
                <w:rFonts w:ascii="Verdana" w:hAnsi="Verdana" w:cs="Arial"/>
                <w:sz w:val="20"/>
                <w:szCs w:val="20"/>
              </w:rPr>
              <w:t>Identification</w:t>
            </w:r>
          </w:p>
        </w:tc>
        <w:tc>
          <w:tcPr>
            <w:tcW w:w="3561" w:type="dxa"/>
          </w:tcPr>
          <w:p w:rsidR="002F568A" w:rsidRDefault="002F568A" w:rsidP="002F568A">
            <w:pPr>
              <w:rPr>
                <w:rFonts w:ascii="Verdana" w:hAnsi="Verdana" w:cs="Arial"/>
                <w:sz w:val="20"/>
                <w:szCs w:val="20"/>
              </w:rPr>
            </w:pPr>
            <w:r>
              <w:rPr>
                <w:rFonts w:ascii="Verdana" w:hAnsi="Verdana" w:cs="Arial"/>
                <w:sz w:val="20"/>
                <w:szCs w:val="20"/>
              </w:rPr>
              <w:t>Internalisation</w:t>
            </w:r>
          </w:p>
        </w:tc>
      </w:tr>
      <w:tr w:rsidR="002F568A" w:rsidTr="002F568A">
        <w:tc>
          <w:tcPr>
            <w:tcW w:w="3560" w:type="dxa"/>
          </w:tcPr>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tc>
        <w:tc>
          <w:tcPr>
            <w:tcW w:w="3561" w:type="dxa"/>
            <w:gridSpan w:val="3"/>
          </w:tcPr>
          <w:p w:rsidR="002F568A" w:rsidRDefault="002F568A" w:rsidP="002F568A">
            <w:pPr>
              <w:rPr>
                <w:rFonts w:ascii="Verdana" w:hAnsi="Verdana" w:cs="Arial"/>
                <w:sz w:val="20"/>
                <w:szCs w:val="20"/>
              </w:rPr>
            </w:pPr>
          </w:p>
        </w:tc>
        <w:tc>
          <w:tcPr>
            <w:tcW w:w="3561" w:type="dxa"/>
          </w:tcPr>
          <w:p w:rsidR="002F568A" w:rsidRDefault="002F568A" w:rsidP="002F568A">
            <w:pPr>
              <w:rPr>
                <w:rFonts w:ascii="Verdana" w:hAnsi="Verdana" w:cs="Arial"/>
                <w:sz w:val="20"/>
                <w:szCs w:val="20"/>
              </w:rPr>
            </w:pPr>
          </w:p>
        </w:tc>
      </w:tr>
      <w:tr w:rsidR="002F568A" w:rsidTr="00710BBF">
        <w:tc>
          <w:tcPr>
            <w:tcW w:w="10682" w:type="dxa"/>
            <w:gridSpan w:val="5"/>
            <w:shd w:val="clear" w:color="auto" w:fill="000000" w:themeFill="text1"/>
          </w:tcPr>
          <w:p w:rsidR="002F568A" w:rsidRPr="00710BBF" w:rsidRDefault="002F568A" w:rsidP="002F568A">
            <w:pPr>
              <w:jc w:val="center"/>
              <w:rPr>
                <w:rFonts w:ascii="Verdana" w:hAnsi="Verdana" w:cs="Arial"/>
                <w:b/>
                <w:sz w:val="20"/>
                <w:szCs w:val="20"/>
              </w:rPr>
            </w:pPr>
            <w:r w:rsidRPr="00710BBF">
              <w:rPr>
                <w:rFonts w:ascii="Verdana" w:hAnsi="Verdana" w:cs="Arial"/>
                <w:b/>
                <w:sz w:val="20"/>
                <w:szCs w:val="20"/>
              </w:rPr>
              <w:t>Explanations of conformity</w:t>
            </w:r>
          </w:p>
        </w:tc>
      </w:tr>
      <w:tr w:rsidR="002F568A" w:rsidTr="002F568A">
        <w:tc>
          <w:tcPr>
            <w:tcW w:w="5211" w:type="dxa"/>
            <w:gridSpan w:val="2"/>
          </w:tcPr>
          <w:p w:rsidR="002F568A" w:rsidRDefault="002F568A" w:rsidP="002F568A">
            <w:pPr>
              <w:rPr>
                <w:rFonts w:ascii="Verdana" w:hAnsi="Verdana" w:cs="Arial"/>
                <w:sz w:val="20"/>
                <w:szCs w:val="20"/>
              </w:rPr>
            </w:pPr>
            <w:r>
              <w:rPr>
                <w:rFonts w:ascii="Verdana" w:hAnsi="Verdana" w:cs="Arial"/>
                <w:sz w:val="20"/>
                <w:szCs w:val="20"/>
              </w:rPr>
              <w:t>Normative social influence</w:t>
            </w:r>
          </w:p>
        </w:tc>
        <w:tc>
          <w:tcPr>
            <w:tcW w:w="5471" w:type="dxa"/>
            <w:gridSpan w:val="3"/>
          </w:tcPr>
          <w:p w:rsidR="002F568A" w:rsidRDefault="002F568A" w:rsidP="002F568A">
            <w:pPr>
              <w:rPr>
                <w:rFonts w:ascii="Verdana" w:hAnsi="Verdana" w:cs="Arial"/>
                <w:sz w:val="20"/>
                <w:szCs w:val="20"/>
              </w:rPr>
            </w:pPr>
            <w:r>
              <w:rPr>
                <w:rFonts w:ascii="Verdana" w:hAnsi="Verdana" w:cs="Arial"/>
                <w:sz w:val="20"/>
                <w:szCs w:val="20"/>
              </w:rPr>
              <w:t>Informational social influence</w:t>
            </w:r>
          </w:p>
        </w:tc>
      </w:tr>
      <w:tr w:rsidR="002F568A" w:rsidTr="002F568A">
        <w:tc>
          <w:tcPr>
            <w:tcW w:w="5211" w:type="dxa"/>
            <w:gridSpan w:val="2"/>
          </w:tcPr>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tc>
        <w:tc>
          <w:tcPr>
            <w:tcW w:w="5471" w:type="dxa"/>
            <w:gridSpan w:val="3"/>
          </w:tcPr>
          <w:p w:rsidR="002F568A" w:rsidRDefault="002F568A" w:rsidP="002F568A">
            <w:pPr>
              <w:rPr>
                <w:rFonts w:ascii="Verdana" w:hAnsi="Verdana" w:cs="Arial"/>
                <w:sz w:val="20"/>
                <w:szCs w:val="20"/>
              </w:rPr>
            </w:pPr>
          </w:p>
          <w:p w:rsidR="003B06F0" w:rsidRDefault="003B06F0" w:rsidP="002F568A">
            <w:pPr>
              <w:rPr>
                <w:rFonts w:ascii="Verdana" w:hAnsi="Verdana" w:cs="Arial"/>
                <w:sz w:val="20"/>
                <w:szCs w:val="20"/>
              </w:rPr>
            </w:pPr>
          </w:p>
          <w:p w:rsidR="003B06F0" w:rsidRDefault="003B06F0" w:rsidP="002F568A">
            <w:pPr>
              <w:rPr>
                <w:rFonts w:ascii="Verdana" w:hAnsi="Verdana" w:cs="Arial"/>
                <w:sz w:val="20"/>
                <w:szCs w:val="20"/>
              </w:rPr>
            </w:pPr>
          </w:p>
          <w:p w:rsidR="003B06F0" w:rsidRDefault="003B06F0" w:rsidP="002F568A">
            <w:pPr>
              <w:rPr>
                <w:rFonts w:ascii="Verdana" w:hAnsi="Verdana" w:cs="Arial"/>
                <w:sz w:val="20"/>
                <w:szCs w:val="20"/>
              </w:rPr>
            </w:pPr>
          </w:p>
          <w:p w:rsidR="003B06F0" w:rsidRDefault="003B06F0" w:rsidP="002F568A">
            <w:pPr>
              <w:rPr>
                <w:rFonts w:ascii="Verdana" w:hAnsi="Verdana" w:cs="Arial"/>
                <w:sz w:val="20"/>
                <w:szCs w:val="20"/>
              </w:rPr>
            </w:pPr>
          </w:p>
          <w:p w:rsidR="003B06F0" w:rsidRDefault="003B06F0" w:rsidP="002F568A">
            <w:pPr>
              <w:rPr>
                <w:rFonts w:ascii="Verdana" w:hAnsi="Verdana" w:cs="Arial"/>
                <w:sz w:val="20"/>
                <w:szCs w:val="20"/>
              </w:rPr>
            </w:pPr>
          </w:p>
          <w:p w:rsidR="003B06F0" w:rsidRDefault="003B06F0" w:rsidP="002F568A">
            <w:pPr>
              <w:rPr>
                <w:rFonts w:ascii="Verdana" w:hAnsi="Verdana" w:cs="Arial"/>
                <w:sz w:val="20"/>
                <w:szCs w:val="20"/>
              </w:rPr>
            </w:pPr>
          </w:p>
          <w:p w:rsidR="003B06F0" w:rsidRDefault="003B06F0" w:rsidP="002F568A">
            <w:pPr>
              <w:rPr>
                <w:rFonts w:ascii="Verdana" w:hAnsi="Verdana" w:cs="Arial"/>
                <w:sz w:val="20"/>
                <w:szCs w:val="20"/>
              </w:rPr>
            </w:pPr>
          </w:p>
        </w:tc>
        <w:bookmarkStart w:id="0" w:name="_GoBack"/>
        <w:bookmarkEnd w:id="0"/>
      </w:tr>
      <w:tr w:rsidR="002F568A" w:rsidTr="002F568A">
        <w:tc>
          <w:tcPr>
            <w:tcW w:w="5211" w:type="dxa"/>
            <w:gridSpan w:val="2"/>
          </w:tcPr>
          <w:p w:rsidR="002F568A" w:rsidRDefault="002F568A" w:rsidP="002F568A">
            <w:pPr>
              <w:rPr>
                <w:rFonts w:ascii="Verdana" w:hAnsi="Verdana" w:cs="Arial"/>
                <w:sz w:val="20"/>
                <w:szCs w:val="20"/>
              </w:rPr>
            </w:pPr>
            <w:r>
              <w:rPr>
                <w:rFonts w:ascii="Verdana" w:hAnsi="Verdana" w:cs="Arial"/>
                <w:sz w:val="20"/>
                <w:szCs w:val="20"/>
              </w:rPr>
              <w:t>Normative social influence can explain the results of conformity studies in unambiguous situations e.g. Asch.</w:t>
            </w: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p w:rsidR="002F568A" w:rsidRDefault="002F568A" w:rsidP="002F568A">
            <w:pPr>
              <w:rPr>
                <w:rFonts w:ascii="Verdana" w:hAnsi="Verdana" w:cs="Arial"/>
                <w:sz w:val="20"/>
                <w:szCs w:val="20"/>
              </w:rPr>
            </w:pPr>
          </w:p>
        </w:tc>
        <w:tc>
          <w:tcPr>
            <w:tcW w:w="5471" w:type="dxa"/>
            <w:gridSpan w:val="3"/>
          </w:tcPr>
          <w:p w:rsidR="002F568A" w:rsidRDefault="002F568A" w:rsidP="002F568A">
            <w:pPr>
              <w:rPr>
                <w:rFonts w:ascii="Verdana" w:hAnsi="Verdana" w:cs="Arial"/>
                <w:sz w:val="20"/>
                <w:szCs w:val="20"/>
              </w:rPr>
            </w:pPr>
            <w:r>
              <w:rPr>
                <w:rFonts w:ascii="Verdana" w:hAnsi="Verdana" w:cs="Arial"/>
                <w:sz w:val="20"/>
                <w:szCs w:val="20"/>
              </w:rPr>
              <w:t xml:space="preserve">Informational social influence can explain conformity in ambiguous situations in which both public and private agreement occurs e.g. </w:t>
            </w:r>
            <w:proofErr w:type="spellStart"/>
            <w:r>
              <w:rPr>
                <w:rFonts w:ascii="Verdana" w:hAnsi="Verdana" w:cs="Arial"/>
                <w:sz w:val="20"/>
                <w:szCs w:val="20"/>
              </w:rPr>
              <w:t>Sherif</w:t>
            </w:r>
            <w:proofErr w:type="spellEnd"/>
          </w:p>
        </w:tc>
      </w:tr>
      <w:tr w:rsidR="000A593C" w:rsidTr="002F568A">
        <w:tc>
          <w:tcPr>
            <w:tcW w:w="5211" w:type="dxa"/>
            <w:gridSpan w:val="2"/>
          </w:tcPr>
          <w:p w:rsidR="000A593C" w:rsidRDefault="00710BBF" w:rsidP="002F568A">
            <w:pPr>
              <w:rPr>
                <w:rFonts w:ascii="Verdana" w:hAnsi="Verdana" w:cs="Arial"/>
                <w:sz w:val="20"/>
                <w:szCs w:val="20"/>
              </w:rPr>
            </w:pPr>
            <w:r>
              <w:rPr>
                <w:rFonts w:ascii="Verdana" w:hAnsi="Verdana" w:cs="Arial"/>
                <w:sz w:val="20"/>
                <w:szCs w:val="20"/>
              </w:rPr>
              <w:t xml:space="preserve">Criticisms of Asch’s </w:t>
            </w:r>
            <w:proofErr w:type="gramStart"/>
            <w:r>
              <w:rPr>
                <w:rFonts w:ascii="Verdana" w:hAnsi="Verdana" w:cs="Arial"/>
                <w:sz w:val="20"/>
                <w:szCs w:val="20"/>
              </w:rPr>
              <w:t>study  ONLY</w:t>
            </w:r>
            <w:proofErr w:type="gramEnd"/>
            <w:r>
              <w:rPr>
                <w:rFonts w:ascii="Verdana" w:hAnsi="Verdana" w:cs="Arial"/>
                <w:sz w:val="20"/>
                <w:szCs w:val="20"/>
              </w:rPr>
              <w:t xml:space="preserve"> if directly linked back to the explanations.</w:t>
            </w:r>
          </w:p>
        </w:tc>
        <w:tc>
          <w:tcPr>
            <w:tcW w:w="5471" w:type="dxa"/>
            <w:gridSpan w:val="3"/>
          </w:tcPr>
          <w:p w:rsidR="000A593C" w:rsidRDefault="000A593C" w:rsidP="002F568A">
            <w:pPr>
              <w:rPr>
                <w:rFonts w:ascii="Verdana" w:hAnsi="Verdana" w:cs="Arial"/>
                <w:sz w:val="20"/>
                <w:szCs w:val="20"/>
              </w:rPr>
            </w:pPr>
            <w:r>
              <w:rPr>
                <w:rFonts w:ascii="Verdana" w:hAnsi="Verdana" w:cs="Arial"/>
                <w:sz w:val="20"/>
                <w:szCs w:val="20"/>
              </w:rPr>
              <w:t>Asch variations support i.e. difficulty of the task</w:t>
            </w: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p w:rsidR="000A593C" w:rsidRDefault="000A593C" w:rsidP="002F568A">
            <w:pPr>
              <w:rPr>
                <w:rFonts w:ascii="Verdana" w:hAnsi="Verdana" w:cs="Arial"/>
                <w:sz w:val="20"/>
                <w:szCs w:val="20"/>
              </w:rPr>
            </w:pPr>
          </w:p>
        </w:tc>
      </w:tr>
      <w:tr w:rsidR="000A593C" w:rsidTr="00496065">
        <w:tc>
          <w:tcPr>
            <w:tcW w:w="10682" w:type="dxa"/>
            <w:gridSpan w:val="5"/>
          </w:tcPr>
          <w:p w:rsidR="000A593C" w:rsidRPr="003B06F0" w:rsidRDefault="000A593C" w:rsidP="002F568A">
            <w:pPr>
              <w:rPr>
                <w:rFonts w:ascii="Verdana" w:hAnsi="Verdana" w:cs="Arial"/>
                <w:b/>
                <w:sz w:val="20"/>
                <w:szCs w:val="20"/>
              </w:rPr>
            </w:pPr>
            <w:r w:rsidRPr="003B06F0">
              <w:rPr>
                <w:rFonts w:ascii="Verdana" w:hAnsi="Verdana" w:cs="Arial"/>
                <w:b/>
                <w:sz w:val="20"/>
                <w:szCs w:val="20"/>
              </w:rPr>
              <w:t>Difficulties in distinguishing between compliance (normative social influence) and internalisation (informational social influence).</w:t>
            </w:r>
          </w:p>
          <w:p w:rsidR="000A593C" w:rsidRDefault="000A593C" w:rsidP="002F568A">
            <w:pPr>
              <w:rPr>
                <w:rFonts w:ascii="Verdana" w:hAnsi="Verdana" w:cs="Arial"/>
                <w:sz w:val="20"/>
                <w:szCs w:val="20"/>
              </w:rPr>
            </w:pPr>
            <w:r>
              <w:rPr>
                <w:rFonts w:ascii="Verdana" w:hAnsi="Verdana" w:cs="Arial"/>
                <w:sz w:val="20"/>
                <w:szCs w:val="20"/>
              </w:rPr>
              <w:t>It is assumed that a person who publicly agrees with a majority yet disagrees in private must be demonstrating compliance. However it is also possible that acceptance has occurred in public yet dissipates later when in private because they have forgotten information given by the</w:t>
            </w:r>
            <w:r w:rsidR="003B06F0">
              <w:rPr>
                <w:rFonts w:ascii="Verdana" w:hAnsi="Verdana" w:cs="Arial"/>
                <w:sz w:val="20"/>
                <w:szCs w:val="20"/>
              </w:rPr>
              <w:t xml:space="preserve"> group or bec</w:t>
            </w:r>
            <w:r>
              <w:rPr>
                <w:rFonts w:ascii="Verdana" w:hAnsi="Verdana" w:cs="Arial"/>
                <w:sz w:val="20"/>
                <w:szCs w:val="20"/>
              </w:rPr>
              <w:t>a</w:t>
            </w:r>
            <w:r w:rsidR="003B06F0">
              <w:rPr>
                <w:rFonts w:ascii="Verdana" w:hAnsi="Verdana" w:cs="Arial"/>
                <w:sz w:val="20"/>
                <w:szCs w:val="20"/>
              </w:rPr>
              <w:t>u</w:t>
            </w:r>
            <w:r>
              <w:rPr>
                <w:rFonts w:ascii="Verdana" w:hAnsi="Verdana" w:cs="Arial"/>
                <w:sz w:val="20"/>
                <w:szCs w:val="20"/>
              </w:rPr>
              <w:t>se they have received new information. It is also assumed that a person who</w:t>
            </w:r>
            <w:r w:rsidR="003B06F0">
              <w:rPr>
                <w:rFonts w:ascii="Verdana" w:hAnsi="Verdana" w:cs="Arial"/>
                <w:sz w:val="20"/>
                <w:szCs w:val="20"/>
              </w:rPr>
              <w:t xml:space="preserve"> agree</w:t>
            </w:r>
            <w:r>
              <w:rPr>
                <w:rFonts w:ascii="Verdana" w:hAnsi="Verdana" w:cs="Arial"/>
                <w:sz w:val="20"/>
                <w:szCs w:val="20"/>
              </w:rPr>
              <w:t>s with the group in public and in priva</w:t>
            </w:r>
            <w:r w:rsidR="003B06F0">
              <w:rPr>
                <w:rFonts w:ascii="Verdana" w:hAnsi="Verdana" w:cs="Arial"/>
                <w:sz w:val="20"/>
                <w:szCs w:val="20"/>
              </w:rPr>
              <w:t>te much have internalised the vi</w:t>
            </w:r>
            <w:r>
              <w:rPr>
                <w:rFonts w:ascii="Verdana" w:hAnsi="Verdana" w:cs="Arial"/>
                <w:sz w:val="20"/>
                <w:szCs w:val="20"/>
              </w:rPr>
              <w:t>ews of the groups. However it is possible that the individual may actually have been merely comp</w:t>
            </w:r>
            <w:r w:rsidR="003B06F0">
              <w:rPr>
                <w:rFonts w:ascii="Verdana" w:hAnsi="Verdana" w:cs="Arial"/>
                <w:sz w:val="20"/>
                <w:szCs w:val="20"/>
              </w:rPr>
              <w:t>l</w:t>
            </w:r>
            <w:r>
              <w:rPr>
                <w:rFonts w:ascii="Verdana" w:hAnsi="Verdana" w:cs="Arial"/>
                <w:sz w:val="20"/>
                <w:szCs w:val="20"/>
              </w:rPr>
              <w:t>ying</w:t>
            </w:r>
            <w:r w:rsidR="003B06F0">
              <w:rPr>
                <w:rFonts w:ascii="Verdana" w:hAnsi="Verdana" w:cs="Arial"/>
                <w:sz w:val="20"/>
                <w:szCs w:val="20"/>
              </w:rPr>
              <w:t xml:space="preserve"> in public but as a result so s</w:t>
            </w:r>
            <w:r>
              <w:rPr>
                <w:rFonts w:ascii="Verdana" w:hAnsi="Verdana" w:cs="Arial"/>
                <w:sz w:val="20"/>
                <w:szCs w:val="20"/>
              </w:rPr>
              <w:t>e</w:t>
            </w:r>
            <w:r w:rsidR="003B06F0">
              <w:rPr>
                <w:rFonts w:ascii="Verdana" w:hAnsi="Verdana" w:cs="Arial"/>
                <w:sz w:val="20"/>
                <w:szCs w:val="20"/>
              </w:rPr>
              <w:t>l</w:t>
            </w:r>
            <w:r>
              <w:rPr>
                <w:rFonts w:ascii="Verdana" w:hAnsi="Verdana" w:cs="Arial"/>
                <w:sz w:val="20"/>
                <w:szCs w:val="20"/>
              </w:rPr>
              <w:t xml:space="preserve">f-perception (“I agreed with the rest of the group, therefore that must be what I really believe”) they come </w:t>
            </w:r>
            <w:r w:rsidR="003B06F0">
              <w:rPr>
                <w:rFonts w:ascii="Verdana" w:hAnsi="Verdana" w:cs="Arial"/>
                <w:sz w:val="20"/>
                <w:szCs w:val="20"/>
              </w:rPr>
              <w:t>to subsequently accept that position as their own.</w:t>
            </w:r>
          </w:p>
        </w:tc>
      </w:tr>
      <w:tr w:rsidR="003B06F0" w:rsidTr="00451339">
        <w:tc>
          <w:tcPr>
            <w:tcW w:w="5341" w:type="dxa"/>
            <w:gridSpan w:val="3"/>
          </w:tcPr>
          <w:p w:rsidR="003B06F0" w:rsidRDefault="003B06F0" w:rsidP="002F568A">
            <w:pPr>
              <w:rPr>
                <w:rFonts w:ascii="Verdana" w:hAnsi="Verdana" w:cs="Arial"/>
                <w:b/>
                <w:sz w:val="20"/>
                <w:szCs w:val="20"/>
              </w:rPr>
            </w:pPr>
            <w:r>
              <w:rPr>
                <w:rFonts w:ascii="Verdana" w:hAnsi="Verdana" w:cs="Arial"/>
                <w:b/>
                <w:sz w:val="20"/>
                <w:szCs w:val="20"/>
              </w:rPr>
              <w:t>Individual differences</w:t>
            </w:r>
          </w:p>
          <w:p w:rsidR="003B06F0" w:rsidRPr="003B06F0" w:rsidRDefault="003B06F0" w:rsidP="003B06F0">
            <w:pPr>
              <w:rPr>
                <w:rFonts w:ascii="Verdana" w:hAnsi="Verdana" w:cs="Arial"/>
                <w:sz w:val="20"/>
                <w:szCs w:val="20"/>
              </w:rPr>
            </w:pPr>
            <w:r w:rsidRPr="003B06F0">
              <w:rPr>
                <w:rFonts w:ascii="Verdana" w:hAnsi="Verdana" w:cs="Arial"/>
                <w:sz w:val="20"/>
                <w:szCs w:val="20"/>
              </w:rPr>
              <w:t xml:space="preserve">Research shows that NSI does not affect everybody in the same way. Some people are less concerned with being liked and some are more and are called </w:t>
            </w:r>
            <w:proofErr w:type="spellStart"/>
            <w:r>
              <w:rPr>
                <w:rFonts w:ascii="Verdana" w:hAnsi="Verdana" w:cs="Arial"/>
                <w:sz w:val="20"/>
                <w:szCs w:val="20"/>
              </w:rPr>
              <w:t>nA</w:t>
            </w:r>
            <w:r w:rsidRPr="003B06F0">
              <w:rPr>
                <w:rFonts w:ascii="Verdana" w:hAnsi="Verdana" w:cs="Arial"/>
                <w:sz w:val="20"/>
                <w:szCs w:val="20"/>
              </w:rPr>
              <w:t>filliators</w:t>
            </w:r>
            <w:proofErr w:type="spellEnd"/>
            <w:r w:rsidRPr="003B06F0">
              <w:rPr>
                <w:rFonts w:ascii="Verdana" w:hAnsi="Verdana" w:cs="Arial"/>
                <w:sz w:val="20"/>
                <w:szCs w:val="20"/>
              </w:rPr>
              <w:t xml:space="preserve"> and </w:t>
            </w:r>
            <w:r>
              <w:rPr>
                <w:rFonts w:ascii="Verdana" w:hAnsi="Verdana" w:cs="Arial"/>
                <w:sz w:val="20"/>
                <w:szCs w:val="20"/>
              </w:rPr>
              <w:t xml:space="preserve">have a greater need for ‘affiliation’. </w:t>
            </w:r>
            <w:proofErr w:type="spellStart"/>
            <w:r>
              <w:rPr>
                <w:rFonts w:ascii="Verdana" w:hAnsi="Verdana" w:cs="Arial"/>
                <w:sz w:val="20"/>
                <w:szCs w:val="20"/>
              </w:rPr>
              <w:t>McChee</w:t>
            </w:r>
            <w:proofErr w:type="spellEnd"/>
            <w:r>
              <w:rPr>
                <w:rFonts w:ascii="Verdana" w:hAnsi="Verdana" w:cs="Arial"/>
                <w:sz w:val="20"/>
                <w:szCs w:val="20"/>
              </w:rPr>
              <w:t xml:space="preserve"> (1967) found that students who were </w:t>
            </w:r>
            <w:proofErr w:type="spellStart"/>
            <w:r>
              <w:rPr>
                <w:rFonts w:ascii="Verdana" w:hAnsi="Verdana" w:cs="Arial"/>
                <w:sz w:val="20"/>
                <w:szCs w:val="20"/>
              </w:rPr>
              <w:t>nAfilliators</w:t>
            </w:r>
            <w:proofErr w:type="spellEnd"/>
            <w:r>
              <w:rPr>
                <w:rFonts w:ascii="Verdana" w:hAnsi="Verdana" w:cs="Arial"/>
                <w:sz w:val="20"/>
                <w:szCs w:val="20"/>
              </w:rPr>
              <w:t xml:space="preserve"> were more likely to conform. This shows that the desire to be liked underlies conformity for some people more than others. </w:t>
            </w:r>
          </w:p>
        </w:tc>
        <w:tc>
          <w:tcPr>
            <w:tcW w:w="5341" w:type="dxa"/>
            <w:gridSpan w:val="2"/>
          </w:tcPr>
          <w:p w:rsidR="003B06F0" w:rsidRDefault="003B06F0" w:rsidP="002F568A">
            <w:pPr>
              <w:rPr>
                <w:rFonts w:ascii="Verdana" w:hAnsi="Verdana" w:cs="Arial"/>
                <w:b/>
                <w:sz w:val="20"/>
                <w:szCs w:val="20"/>
              </w:rPr>
            </w:pPr>
            <w:r>
              <w:rPr>
                <w:rFonts w:ascii="Verdana" w:hAnsi="Verdana" w:cs="Arial"/>
                <w:b/>
                <w:sz w:val="20"/>
                <w:szCs w:val="20"/>
              </w:rPr>
              <w:t>Individual difference</w:t>
            </w:r>
          </w:p>
          <w:p w:rsidR="003B06F0" w:rsidRPr="00710BBF" w:rsidRDefault="00710BBF" w:rsidP="002F568A">
            <w:pPr>
              <w:rPr>
                <w:rFonts w:ascii="Verdana" w:hAnsi="Verdana" w:cs="Arial"/>
                <w:sz w:val="20"/>
                <w:szCs w:val="20"/>
              </w:rPr>
            </w:pPr>
            <w:r w:rsidRPr="00710BBF">
              <w:rPr>
                <w:rFonts w:ascii="Verdana" w:hAnsi="Verdana" w:cs="Arial"/>
                <w:sz w:val="20"/>
                <w:szCs w:val="20"/>
              </w:rPr>
              <w:t xml:space="preserve">Asch found that students were </w:t>
            </w:r>
            <w:proofErr w:type="gramStart"/>
            <w:r w:rsidRPr="00710BBF">
              <w:rPr>
                <w:rFonts w:ascii="Verdana" w:hAnsi="Verdana" w:cs="Arial"/>
                <w:sz w:val="20"/>
                <w:szCs w:val="20"/>
              </w:rPr>
              <w:t>less conformist</w:t>
            </w:r>
            <w:proofErr w:type="gramEnd"/>
            <w:r w:rsidRPr="00710BBF">
              <w:rPr>
                <w:rFonts w:ascii="Verdana" w:hAnsi="Verdana" w:cs="Arial"/>
                <w:sz w:val="20"/>
                <w:szCs w:val="20"/>
              </w:rPr>
              <w:t xml:space="preserve"> (28%) than other participants (37%). Perrin and Spencer (1980) conducted a study involving science and engineering student</w:t>
            </w:r>
            <w:r>
              <w:rPr>
                <w:rFonts w:ascii="Verdana" w:hAnsi="Verdana" w:cs="Arial"/>
                <w:sz w:val="20"/>
                <w:szCs w:val="20"/>
              </w:rPr>
              <w:t>s found very little conformity which criticises informational social influence</w:t>
            </w:r>
          </w:p>
          <w:p w:rsidR="003B06F0" w:rsidRPr="00710BBF" w:rsidRDefault="003B06F0" w:rsidP="002F568A">
            <w:pPr>
              <w:rPr>
                <w:rFonts w:ascii="Verdana" w:hAnsi="Verdana" w:cs="Arial"/>
                <w:sz w:val="20"/>
                <w:szCs w:val="20"/>
              </w:rPr>
            </w:pPr>
          </w:p>
          <w:p w:rsidR="003B06F0" w:rsidRPr="003B06F0" w:rsidRDefault="003B06F0" w:rsidP="002F568A">
            <w:pPr>
              <w:rPr>
                <w:rFonts w:ascii="Verdana" w:hAnsi="Verdana" w:cs="Arial"/>
                <w:b/>
                <w:sz w:val="20"/>
                <w:szCs w:val="20"/>
              </w:rPr>
            </w:pPr>
          </w:p>
        </w:tc>
      </w:tr>
    </w:tbl>
    <w:p w:rsidR="002F568A" w:rsidRPr="001B1013" w:rsidRDefault="002F568A">
      <w:pPr>
        <w:rPr>
          <w:rFonts w:ascii="Verdana" w:hAnsi="Verdana" w:cs="Arial"/>
          <w:sz w:val="20"/>
          <w:szCs w:val="20"/>
        </w:rPr>
      </w:pPr>
      <w:r>
        <w:rPr>
          <w:rFonts w:ascii="Verdana" w:hAnsi="Verdana" w:cs="Arial"/>
          <w:sz w:val="20"/>
          <w:szCs w:val="20"/>
        </w:rPr>
        <w:lastRenderedPageBreak/>
        <w:tab/>
      </w:r>
    </w:p>
    <w:p w:rsidR="00163119" w:rsidRPr="001B1013" w:rsidRDefault="00163119">
      <w:pPr>
        <w:rPr>
          <w:rFonts w:ascii="Verdana" w:hAnsi="Verdana" w:cs="Arial"/>
          <w:sz w:val="20"/>
          <w:szCs w:val="20"/>
        </w:rPr>
      </w:pP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8A"/>
    <w:rsid w:val="000A2F52"/>
    <w:rsid w:val="000A593C"/>
    <w:rsid w:val="00163119"/>
    <w:rsid w:val="001B1013"/>
    <w:rsid w:val="002F568A"/>
    <w:rsid w:val="003B06F0"/>
    <w:rsid w:val="0071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33F0-0DCB-460A-8D41-FC53A279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E2338F02.dotm</Template>
  <TotalTime>40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2016-04-25T07:28:00Z</dcterms:created>
  <dcterms:modified xsi:type="dcterms:W3CDTF">2016-04-25T08:08:00Z</dcterms:modified>
</cp:coreProperties>
</file>